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20" w:lineRule="atLeast"/>
        <w:jc w:val="center"/>
        <w:outlineLvl w:val="0"/>
        <w:rPr>
          <w:rFonts w:ascii="微软雅黑" w:hAnsi="微软雅黑" w:eastAsia="微软雅黑" w:cs="宋体"/>
          <w:b/>
          <w:bCs/>
          <w:color w:val="333333"/>
          <w:kern w:val="36"/>
          <w:sz w:val="30"/>
          <w:szCs w:val="30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30"/>
          <w:szCs w:val="30"/>
        </w:rPr>
        <w:t>中医内科主治医师重要科目的考点</w:t>
      </w:r>
    </w:p>
    <w:p>
      <w:pPr>
        <w:widowControl/>
        <w:shd w:val="clear" w:color="auto" w:fill="FFFFFF"/>
        <w:spacing w:before="150" w:after="150" w:line="360" w:lineRule="atLeast"/>
        <w:ind w:firstLine="48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备考</w:t>
      </w:r>
      <w:r>
        <w:fldChar w:fldCharType="begin"/>
      </w:r>
      <w:r>
        <w:instrText xml:space="preserve"> HYPERLINK "http://www.med66.com/zhongyineikezhuzhi/" \t "_blank" \o "中医内科主治医师考试" </w:instrText>
      </w:r>
      <w:r>
        <w:fldChar w:fldCharType="separate"/>
      </w:r>
      <w:r>
        <w:rPr>
          <w:rFonts w:hint="eastAsia" w:ascii="宋体" w:hAnsi="宋体" w:eastAsia="宋体" w:cs="宋体"/>
          <w:color w:val="0000FF"/>
          <w:kern w:val="0"/>
        </w:rPr>
        <w:t>中医内科主治医师考试</w:t>
      </w:r>
      <w:r>
        <w:rPr>
          <w:rFonts w:hint="eastAsia" w:ascii="宋体" w:hAnsi="宋体" w:eastAsia="宋体" w:cs="宋体"/>
          <w:color w:val="0000FF"/>
          <w:kern w:val="0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Cs w:val="21"/>
        </w:rPr>
        <w:t>的考生们，你们一定十分想了解中医</w:t>
      </w:r>
      <w:r>
        <w:fldChar w:fldCharType="begin"/>
      </w:r>
      <w:r>
        <w:instrText xml:space="preserve"> HYPERLINK "http://www.med66.com/neikezhuzhiyishi/" \t "_blank" \o "内科主治医师" </w:instrText>
      </w:r>
      <w:r>
        <w:fldChar w:fldCharType="separate"/>
      </w:r>
      <w:r>
        <w:rPr>
          <w:rFonts w:hint="eastAsia" w:ascii="宋体" w:hAnsi="宋体" w:eastAsia="宋体" w:cs="宋体"/>
          <w:color w:val="0000FF"/>
          <w:kern w:val="0"/>
        </w:rPr>
        <w:t>内科主治医师</w:t>
      </w:r>
      <w:r>
        <w:rPr>
          <w:rFonts w:hint="eastAsia" w:ascii="宋体" w:hAnsi="宋体" w:eastAsia="宋体" w:cs="宋体"/>
          <w:color w:val="0000FF"/>
          <w:kern w:val="0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Cs w:val="21"/>
        </w:rPr>
        <w:t>重要科目的考点，医学教育网凭着优质的师资多年的教学经验，分析出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Cs w:val="21"/>
        </w:rPr>
        <w:t>中医</w:t>
      </w:r>
      <w:r>
        <w:fldChar w:fldCharType="begin"/>
      </w:r>
      <w:r>
        <w:instrText xml:space="preserve"> HYPERLINK "http://www.med66.com/neikezhuzhiyishi/" \t "_blank" \o "内科主治" </w:instrText>
      </w:r>
      <w:r>
        <w:fldChar w:fldCharType="separate"/>
      </w:r>
      <w:r>
        <w:rPr>
          <w:rFonts w:hint="eastAsia" w:ascii="宋体" w:hAnsi="宋体" w:eastAsia="宋体" w:cs="宋体"/>
          <w:color w:val="0000FF"/>
          <w:kern w:val="0"/>
        </w:rPr>
        <w:t>内科主治</w:t>
      </w:r>
      <w:r>
        <w:rPr>
          <w:rFonts w:hint="eastAsia" w:ascii="宋体" w:hAnsi="宋体" w:eastAsia="宋体" w:cs="宋体"/>
          <w:color w:val="0000FF"/>
          <w:kern w:val="0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Cs w:val="21"/>
        </w:rPr>
        <w:t>医师重要科目的考点，具体如下，〖以下内容医学教育网版权所有，转载务必注明出处，违者将追究法律责任〗：</w:t>
      </w:r>
    </w:p>
    <w:tbl>
      <w:tblPr>
        <w:tblStyle w:val="9"/>
        <w:tblW w:w="8100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585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0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</w:rPr>
              <w:t>第一部分 基础知识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0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</w:rPr>
              <w:t>主要内容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fldChar w:fldCharType="begin"/>
            </w:r>
            <w:r>
              <w:instrText xml:space="preserve"> HYPERLINK "http://www.med66.com/web/zhongyijichu/" \t "_blank" \o "中医基础"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0000FF"/>
                <w:kern w:val="0"/>
              </w:rPr>
              <w:t>中医基础</w:t>
            </w:r>
            <w:r>
              <w:rPr>
                <w:rFonts w:hint="eastAsia" w:ascii="宋体" w:hAnsi="宋体" w:eastAsia="宋体" w:cs="宋体"/>
                <w:color w:val="0000FF"/>
                <w:kern w:val="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理论</w:t>
            </w:r>
          </w:p>
        </w:tc>
        <w:tc>
          <w:tcPr>
            <w:tcW w:w="58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1、五脏六腑的主要生理功能、生理特性与形、窍、志、液、时的关系。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2、精气血津液神的生成、生理功能及其相互之间的关系。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3、十二经脉的走向交接规律、分布规律、表里关系、流注次序及奇经八脉的循行部位及基本功能。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4、六淫、疠气、痰饮、瘀血、七情内伤、饮食失宜等病因的致病特点。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5、邪正盛衰、阴阳失调、气血津液失常等病机引起的病理状态。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中药学</w:t>
            </w:r>
          </w:p>
        </w:tc>
        <w:tc>
          <w:tcPr>
            <w:tcW w:w="58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1、中药的配伍与用药禁忌。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2、清热药的性能、功效、应用、用法用量、使用注意。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3、利水渗湿药的功效、应用、相似药物功用异同点。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4、止血药的性能、功效、应用、相似药物功用异同点。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5、化痰止咳平喘药的功效、应用。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6、平肝熄风药相似药物功用异同点。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7、补虚药的功效、应用、相似药物功用异同点。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方剂学</w:t>
            </w:r>
          </w:p>
        </w:tc>
        <w:tc>
          <w:tcPr>
            <w:tcW w:w="58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1、方剂的组成与变化。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2、清热剂中各方的组方原理及其鉴别应用。比如：清营汤、普济消毒饮、龙胆泻肝汤、芍药汤等。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3、补益剂中各方的组方原理及其鉴别应用。比如：参苓白术散、补中益气汤、归脾汤、六味地黄丸等。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4、治风剂中各方的组方原理及其鉴别应用。比如：川芎茶调散、羚角钩藤汤、天麻钩藤饮等。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5、祛湿剂中各方的组方原理及其鉴别应用。比如：平胃散、八正散、五苓散、真武汤、羌活胜湿汤等。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6、祛痰剂中各方的组方原理及其鉴别应用。比如：二陈汤、温胆汤等。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0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</w:rPr>
              <w:t>第二部分 相关专业知识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0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</w:rPr>
              <w:t>主要内容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中医诊断学</w:t>
            </w:r>
          </w:p>
        </w:tc>
        <w:tc>
          <w:tcPr>
            <w:tcW w:w="58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1、望闻问切的内容及其异常病变的临床表现及意义。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2、舌诊、脉诊的内容及其异常的表现特征及临床意义。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3、八纲基本证候的临床表现及鉴别要点及八纲证候间的关系。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4、气血津液类证候的临床表现及意义。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5、脏腑辨证中各证候的临床表现。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诊断学基础</w:t>
            </w:r>
          </w:p>
        </w:tc>
        <w:tc>
          <w:tcPr>
            <w:tcW w:w="58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1、发热、腹痛、呼吸困难、意识障碍等症状的病因、临床表现、问诊要点。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2、肺、心脏、腹部、胸壁及胸廓的视触叩听及神经系统检查。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3、血、尿、便的检查及肝、肾功能检查。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4、心电图、内镜及肺功能检查。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5、呼吸、循环、泌尿、中枢神经等系统常见疾病的X线、CT及磁共振检查表现。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0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</w:rPr>
              <w:t>第三、四部分 专业知识与专业实践能力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0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</w:rPr>
              <w:t>中医内科学具体到每个单元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0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</w:rPr>
              <w:t>主要内容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第一单元</w:t>
            </w:r>
          </w:p>
        </w:tc>
        <w:tc>
          <w:tcPr>
            <w:tcW w:w="58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感冒、咳嗽、哮病、喘证、肺痈、肺痨、肺胀的概述、病因病机、诊断和类证鉴别、西医相关疾病的诊断与鉴别、</w:t>
            </w:r>
            <w:r>
              <w:fldChar w:fldCharType="begin"/>
            </w:r>
            <w:r>
              <w:instrText xml:space="preserve"> HYPERLINK "http://www.med66.com/web/bianzhenglunzheng/" \t "_blank" \o "辨证论治"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0000FF"/>
                <w:kern w:val="0"/>
              </w:rPr>
              <w:t>辨证论治</w:t>
            </w:r>
            <w:r>
              <w:rPr>
                <w:rFonts w:hint="eastAsia" w:ascii="宋体" w:hAnsi="宋体" w:eastAsia="宋体" w:cs="宋体"/>
                <w:color w:val="0000FF"/>
                <w:kern w:val="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、西医相关疾病的西医治疗、预防调护。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第二单元</w:t>
            </w:r>
          </w:p>
        </w:tc>
        <w:tc>
          <w:tcPr>
            <w:tcW w:w="58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心悸、胸痹、不寐、癫狂、痫病、痴呆的概述、病因病机、诊断和类证鉴别、西医相关疾病的诊断与鉴别、辨证论治、西医相关疾病的西医治疗、预防调护。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第三单元</w:t>
            </w:r>
          </w:p>
        </w:tc>
        <w:tc>
          <w:tcPr>
            <w:tcW w:w="58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胃痛、痞满、呕吐、噎膈、呃逆、腹痛、泄泻、痢疾、便秘的概述、病因病机、诊断和类证鉴别、西医相关疾病的诊断与鉴别、辨证论治、西医相关疾病的西医治疗、预防调护。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第四单元</w:t>
            </w:r>
          </w:p>
        </w:tc>
        <w:tc>
          <w:tcPr>
            <w:tcW w:w="58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胁痛、黄疸、积聚、鼓胀、头痛、眩晕、中风、瘿病的概述、病因病机、诊断和类证鉴别、西医相关疾病的诊断与鉴别、辨证论治、西医相关疾病的西医治疗、预防调护。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第五单元</w:t>
            </w:r>
          </w:p>
        </w:tc>
        <w:tc>
          <w:tcPr>
            <w:tcW w:w="58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水肿、淋证、癃闭的概述、病因病机、诊断和类证鉴别、西医相关疾病的诊断与鉴别、辨证论治、西医相关疾病的西医治疗、预防调护。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第六单元</w:t>
            </w:r>
          </w:p>
        </w:tc>
        <w:tc>
          <w:tcPr>
            <w:tcW w:w="58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郁证、血证、痰饮、消渴、自汗、盗汗、内伤发热、虚劳、癌病的概述、病因病机、诊断和类证鉴别、西医相关疾病的诊断与鉴别、辨证论治、西医相关疾病的西医治疗、预防调护。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第七单元</w:t>
            </w:r>
          </w:p>
        </w:tc>
        <w:tc>
          <w:tcPr>
            <w:tcW w:w="58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痹证、痉证、痿证、颤证、腰痛的概述、病因病机、诊断和类证鉴别、西医相关疾病的诊断与鉴别、辨证论治、西医相关疾病的西医治疗、预防调护。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第八单元</w:t>
            </w:r>
          </w:p>
        </w:tc>
        <w:tc>
          <w:tcPr>
            <w:tcW w:w="58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脱证、神昏、猝死、急性中毒概论、急性有机磷中毒、急性一氧化碳中毒、急性酒精中毒的概述、病因病机、诊断和类证鉴别、西医处理、辨证救治。</w:t>
            </w:r>
          </w:p>
        </w:tc>
      </w:tr>
    </w:tbl>
    <w:p/>
    <w:p>
      <w:pPr>
        <w:pStyle w:val="5"/>
        <w:shd w:val="clear" w:color="auto" w:fill="FFFFFF"/>
        <w:spacing w:beforeAutospacing="0" w:afterAutospacing="0" w:line="420" w:lineRule="atLeast"/>
        <w:jc w:val="both"/>
        <w:rPr>
          <w:rFonts w:hint="eastAsia" w:ascii="微软雅黑" w:hAnsi="微软雅黑" w:eastAsia="微软雅黑"/>
          <w:color w:val="92D050"/>
          <w:sz w:val="36"/>
          <w:szCs w:val="36"/>
        </w:rPr>
      </w:pPr>
    </w:p>
    <w:p>
      <w:pPr>
        <w:pStyle w:val="5"/>
        <w:shd w:val="clear" w:color="auto" w:fill="FFFFFF"/>
        <w:spacing w:beforeAutospacing="0" w:afterAutospacing="0" w:line="420" w:lineRule="atLeast"/>
        <w:jc w:val="both"/>
        <w:rPr>
          <w:rFonts w:hint="eastAsia" w:ascii="微软雅黑" w:hAnsi="微软雅黑" w:eastAsia="微软雅黑"/>
          <w:color w:val="92D050"/>
          <w:sz w:val="36"/>
          <w:szCs w:val="36"/>
        </w:rPr>
      </w:pPr>
    </w:p>
    <w:p>
      <w:pPr>
        <w:pStyle w:val="5"/>
        <w:shd w:val="clear" w:color="auto" w:fill="FFFFFF"/>
        <w:spacing w:beforeAutospacing="0" w:afterAutospacing="0" w:line="420" w:lineRule="atLeast"/>
        <w:jc w:val="both"/>
        <w:rPr>
          <w:rFonts w:hint="eastAsia" w:ascii="微软雅黑" w:hAnsi="微软雅黑" w:eastAsia="微软雅黑"/>
          <w:color w:val="92D050"/>
          <w:sz w:val="36"/>
          <w:szCs w:val="36"/>
        </w:rPr>
      </w:pPr>
    </w:p>
    <w:p>
      <w:pPr>
        <w:pStyle w:val="5"/>
        <w:shd w:val="clear" w:color="auto" w:fill="FFFFFF"/>
        <w:spacing w:beforeAutospacing="0" w:afterAutospacing="0" w:line="420" w:lineRule="atLeast"/>
        <w:jc w:val="both"/>
        <w:rPr>
          <w:rFonts w:hint="eastAsia" w:ascii="微软雅黑" w:hAnsi="微软雅黑" w:eastAsia="微软雅黑"/>
          <w:color w:val="92D050"/>
          <w:sz w:val="36"/>
          <w:szCs w:val="36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r>
        <w:rPr>
          <w:rFonts w:hint="eastAsia" w:ascii="微软雅黑" w:hAnsi="微软雅黑" w:eastAsia="微软雅黑"/>
          <w:color w:val="333333"/>
          <w:sz w:val="21"/>
          <w:szCs w:val="21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133350</wp:posOffset>
            </wp:positionV>
            <wp:extent cx="4772025" cy="1790700"/>
            <wp:effectExtent l="0" t="0" r="9525" b="0"/>
            <wp:wrapTight wrapText="bothSides">
              <wp:wrapPolygon>
                <wp:start x="0" y="0"/>
                <wp:lineTo x="0" y="21370"/>
                <wp:lineTo x="21557" y="21370"/>
                <wp:lineTo x="21557" y="0"/>
                <wp:lineTo x="0" y="0"/>
              </wp:wrapPolygon>
            </wp:wrapTight>
            <wp:docPr id="9" name="图片 9" descr="中医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中医内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</w:t>
    </w:r>
    <w:r>
      <w:rPr>
        <w:rFonts w:hint="eastAsia"/>
        <w:lang w:val="en-US" w:eastAsia="zh-CN"/>
      </w:rPr>
      <w:t>中医内科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527240233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170E"/>
    <w:rsid w:val="0003636C"/>
    <w:rsid w:val="0045170E"/>
    <w:rsid w:val="009B267A"/>
    <w:rsid w:val="00B24374"/>
    <w:rsid w:val="00FB7BA8"/>
    <w:rsid w:val="455260F9"/>
    <w:rsid w:val="552C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6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314</Words>
  <Characters>1793</Characters>
  <Lines>14</Lines>
  <Paragraphs>4</Paragraphs>
  <TotalTime>1</TotalTime>
  <ScaleCrop>false</ScaleCrop>
  <LinksUpToDate>false</LinksUpToDate>
  <CharactersWithSpaces>2103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2018-04-24T02:34:00Z</dcterms:created>
  <dc:creator>DELL</dc:creator>
  <cp:lastModifiedBy>dell</cp:lastModifiedBy>
  <dcterms:modified xsi:type="dcterms:W3CDTF">2019-08-16T08:13:03Z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