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A79" w:rsidRPr="00C75A79" w:rsidRDefault="00C75A79" w:rsidP="00C75A79">
      <w:pPr>
        <w:widowControl/>
        <w:spacing w:after="217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2"/>
        </w:rPr>
      </w:pPr>
      <w:r w:rsidRPr="00C75A79">
        <w:rPr>
          <w:rFonts w:ascii="微软雅黑" w:eastAsia="微软雅黑" w:hAnsi="微软雅黑" w:cs="宋体" w:hint="eastAsia"/>
          <w:color w:val="333333"/>
          <w:kern w:val="0"/>
          <w:sz w:val="22"/>
        </w:rPr>
        <w:t>（一）中医基础理论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01"/>
        <w:gridCol w:w="1639"/>
        <w:gridCol w:w="2426"/>
        <w:gridCol w:w="3428"/>
        <w:gridCol w:w="42"/>
      </w:tblGrid>
      <w:tr w:rsidR="00C75A79" w:rsidRPr="00C75A79" w:rsidTr="00C75A79">
        <w:trPr>
          <w:trHeight w:val="300"/>
          <w:tblCellSpacing w:w="0" w:type="dxa"/>
          <w:jc w:val="center"/>
        </w:trPr>
        <w:tc>
          <w:tcPr>
            <w:tcW w:w="885" w:type="dxa"/>
            <w:tcBorders>
              <w:top w:val="single" w:sz="6" w:space="0" w:color="231F20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单元</w:t>
            </w:r>
          </w:p>
        </w:tc>
        <w:tc>
          <w:tcPr>
            <w:tcW w:w="271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细目</w:t>
            </w:r>
          </w:p>
        </w:tc>
        <w:tc>
          <w:tcPr>
            <w:tcW w:w="3945" w:type="dxa"/>
            <w:gridSpan w:val="2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要点</w:t>
            </w:r>
          </w:p>
        </w:tc>
      </w:tr>
      <w:tr w:rsidR="00C75A79" w:rsidRPr="00C75A79" w:rsidTr="00C75A79">
        <w:trPr>
          <w:trHeight w:val="6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一、中医学概念与学科属性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wordWrap w:val="0"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1.中医学的概念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2.中医学的学科属性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300"/>
          <w:tblCellSpacing w:w="0" w:type="dxa"/>
          <w:jc w:val="center"/>
        </w:trPr>
        <w:tc>
          <w:tcPr>
            <w:tcW w:w="88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第一单元</w:t>
            </w:r>
          </w:p>
        </w:tc>
        <w:tc>
          <w:tcPr>
            <w:tcW w:w="184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中医学理论体系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二、中医学理论体系的形成与发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1.中医学理论体系的形成</w:t>
            </w:r>
          </w:p>
        </w:tc>
      </w:tr>
      <w:tr w:rsidR="00C75A79" w:rsidRPr="00C75A79" w:rsidTr="00C75A79">
        <w:trPr>
          <w:trHeight w:val="3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27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展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</w:tr>
      <w:tr w:rsidR="00C75A79" w:rsidRPr="00C75A79" w:rsidTr="00C75A79">
        <w:trPr>
          <w:trHeight w:val="624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8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2.中医学理论体系的发展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三、中医学理论体系的主要特点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1.整体观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</w:t>
            </w:r>
            <w:hyperlink r:id="rId6" w:tgtFrame="_blank" w:tooltip="辨证论治" w:history="1">
              <w:r w:rsidRPr="00C75A79">
                <w:rPr>
                  <w:rFonts w:ascii="微软雅黑" w:eastAsia="微软雅黑" w:hAnsi="微软雅黑" w:cs="宋体" w:hint="eastAsia"/>
                  <w:color w:val="0000FF"/>
                  <w:kern w:val="0"/>
                  <w:sz w:val="22"/>
                </w:rPr>
                <w:t>辨证论治</w:t>
              </w:r>
            </w:hyperlink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1.精的概念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一、精气学说的概念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2.气的概念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3.精气的概念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第二单元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精气学说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1.精气是构成宇宙的本原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二、精气学说的基本内容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2.精气的运动与变化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3.精气是天地万物的中介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4.天地精气化生为人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一、阴阳的概念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1.阴阳的含义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2.事物阴阳属性的绝对性和相对性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1.阴阳对立制约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第三单元</w:t>
            </w:r>
          </w:p>
        </w:tc>
        <w:tc>
          <w:tcPr>
            <w:tcW w:w="184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阴阳学说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2.阴阳互根互用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624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8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二、阴阳学说的主要内容</w:t>
            </w: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8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3.阴阳交感互藏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7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4.阴阳的消长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5.阴阳的转化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6.阴阳的自和与平衡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</w:tbl>
    <w:p w:rsidR="00C75A79" w:rsidRPr="00C75A79" w:rsidRDefault="00C75A79" w:rsidP="00C75A79">
      <w:pPr>
        <w:widowControl/>
        <w:spacing w:after="217"/>
        <w:ind w:firstLine="480"/>
        <w:jc w:val="center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C75A79">
        <w:rPr>
          <w:rFonts w:ascii="微软雅黑" w:eastAsia="微软雅黑" w:hAnsi="微软雅黑" w:cs="宋体"/>
          <w:color w:val="333333"/>
          <w:kern w:val="0"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.7pt;height:.7pt"/>
        </w:pict>
      </w:r>
      <w:r w:rsidRPr="00C75A79">
        <w:rPr>
          <w:rFonts w:ascii="微软雅黑" w:eastAsia="微软雅黑" w:hAnsi="微软雅黑" w:cs="宋体"/>
          <w:color w:val="333333"/>
          <w:kern w:val="0"/>
          <w:sz w:val="22"/>
        </w:rPr>
        <w:pict>
          <v:shape id="_x0000_i1026" type="#_x0000_t75" alt="" style="width:1.35pt;height:.7pt"/>
        </w:pic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00"/>
        <w:gridCol w:w="1633"/>
        <w:gridCol w:w="2418"/>
        <w:gridCol w:w="3443"/>
        <w:gridCol w:w="42"/>
      </w:tblGrid>
      <w:tr w:rsidR="00C75A79" w:rsidRPr="00C75A79" w:rsidTr="00C75A79">
        <w:trPr>
          <w:trHeight w:val="285"/>
          <w:tblCellSpacing w:w="0" w:type="dxa"/>
          <w:jc w:val="center"/>
        </w:trPr>
        <w:tc>
          <w:tcPr>
            <w:tcW w:w="885" w:type="dxa"/>
            <w:tcBorders>
              <w:top w:val="single" w:sz="6" w:space="0" w:color="231F20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单元</w:t>
            </w:r>
          </w:p>
        </w:tc>
        <w:tc>
          <w:tcPr>
            <w:tcW w:w="271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细目</w:t>
            </w:r>
          </w:p>
        </w:tc>
        <w:tc>
          <w:tcPr>
            <w:tcW w:w="3945" w:type="dxa"/>
            <w:gridSpan w:val="2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要点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1.在组织结构和生理机能方面的应用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第三单元</w:t>
            </w:r>
          </w:p>
        </w:tc>
        <w:tc>
          <w:tcPr>
            <w:tcW w:w="184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阴阳学说</w:t>
            </w: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三、阴阳学说在中医学中的应用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2.在病理方面的应用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624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8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3.在疾病诊断方面的应用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4.在疾病预防和治疗方面的应用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1.五行的概念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一、五行学说的概念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2.五行的特性和事物与现象的五行归类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3.事物五行属性的归类依据和方法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1.五行相生与相克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二、五行学说的基本内容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2.五行制化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841"/>
          <w:tblCellSpacing w:w="0" w:type="dxa"/>
          <w:jc w:val="center"/>
        </w:trPr>
        <w:tc>
          <w:tcPr>
            <w:tcW w:w="88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77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第四单元</w:t>
            </w:r>
          </w:p>
        </w:tc>
        <w:tc>
          <w:tcPr>
            <w:tcW w:w="184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77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五行学说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77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3.五行相乘与相侮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4.五行的母子相及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1.在生理方面的应用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三、五行学说在中医学中的应用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2.在病理方面的应用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3.在疾病诊断方面的应用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4.在疾病治疗方面的应用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1.藏象及藏象学说的概念与特点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第五单元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藏象学说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藏象学说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2.藏象学说形成的基础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3.五脏、六腑、奇恒之腑的分类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1.心的生理功能与特性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2.肺的生理功能与特性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一、五脏的生理功能与特性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3.脾的生理功能与特性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4.肝的生理功能与特性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5.肾的生理功能与特性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6.命门的概念和功用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1.心与肺的关系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第六单元</w:t>
            </w:r>
          </w:p>
        </w:tc>
        <w:tc>
          <w:tcPr>
            <w:tcW w:w="184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五脏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2.心与脾的关系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3.心与肝的关系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4.心与肾的关系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二、五脏之间的关系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5.肺与脾的关系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6.肺与肝的关系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7.肺与肾的关系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8.肝与脾的关系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9.肝与肾的关系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10.脾与肾的关系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</w:tbl>
    <w:p w:rsidR="00C75A79" w:rsidRPr="00C75A79" w:rsidRDefault="00C75A79" w:rsidP="00C75A79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97"/>
        <w:gridCol w:w="1657"/>
        <w:gridCol w:w="2409"/>
        <w:gridCol w:w="3430"/>
        <w:gridCol w:w="43"/>
      </w:tblGrid>
      <w:tr w:rsidR="00C75A79" w:rsidRPr="00C75A79" w:rsidTr="00C75A79">
        <w:trPr>
          <w:trHeight w:val="285"/>
          <w:tblCellSpacing w:w="0" w:type="dxa"/>
          <w:jc w:val="center"/>
        </w:trPr>
        <w:tc>
          <w:tcPr>
            <w:tcW w:w="885" w:type="dxa"/>
            <w:tcBorders>
              <w:top w:val="single" w:sz="6" w:space="0" w:color="231F20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单元</w:t>
            </w:r>
          </w:p>
        </w:tc>
        <w:tc>
          <w:tcPr>
            <w:tcW w:w="271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细目</w:t>
            </w:r>
          </w:p>
        </w:tc>
        <w:tc>
          <w:tcPr>
            <w:tcW w:w="3945" w:type="dxa"/>
            <w:gridSpan w:val="2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要点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1.五脏与五体的关系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2.五脏的外华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300"/>
          <w:tblCellSpacing w:w="0" w:type="dxa"/>
          <w:jc w:val="center"/>
        </w:trPr>
        <w:tc>
          <w:tcPr>
            <w:tcW w:w="88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第六单元</w:t>
            </w:r>
          </w:p>
        </w:tc>
        <w:tc>
          <w:tcPr>
            <w:tcW w:w="184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五脏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三、五脏与五体、五官九窍、五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3.五脏与五官九窍的关系</w:t>
            </w:r>
          </w:p>
        </w:tc>
      </w:tr>
      <w:tr w:rsidR="00C75A79" w:rsidRPr="00C75A79" w:rsidTr="00C75A79">
        <w:trPr>
          <w:trHeight w:val="3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27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志、五液和季节的关系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</w:tr>
      <w:tr w:rsidR="00C75A79" w:rsidRPr="00C75A79" w:rsidTr="00C75A79">
        <w:trPr>
          <w:trHeight w:val="624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8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4.五脏与五志、五神的关系</w:t>
            </w:r>
          </w:p>
        </w:tc>
      </w:tr>
      <w:tr w:rsidR="00C75A79" w:rsidRPr="00C75A79" w:rsidTr="00C75A79">
        <w:trPr>
          <w:trHeight w:val="12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4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5.五脏与五液的关系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6.五脏与季节的关系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1.胆的生理功能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2.胃的生理功能和生理特性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一、六腑的生理功能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3.小肠的生理功能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4.大肠的生理功能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5.膀胱的生理功能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第七单元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六腑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6.三焦的概念和生理功能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1.心与小肠的关系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2.肺与大肠的关系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二、五脏与六腑之间的关系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3.脾与胃的关系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4.肝与胆的关系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5.肾与膀胱的关系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一、脑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1.脑的生理功能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841"/>
          <w:tblCellSpacing w:w="0" w:type="dxa"/>
          <w:jc w:val="center"/>
        </w:trPr>
        <w:tc>
          <w:tcPr>
            <w:tcW w:w="88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77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</w:t>
            </w: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lastRenderedPageBreak/>
              <w:t>八单元</w:t>
            </w:r>
          </w:p>
        </w:tc>
        <w:tc>
          <w:tcPr>
            <w:tcW w:w="184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77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lastRenderedPageBreak/>
              <w:t>奇恒之腑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77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2.脑与脏腑精气的关系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624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8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二、女子胞</w:t>
            </w: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8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1.女子胞的生理功能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2.女子胞与脏腑经络的关系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1.人体之精的概念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一、精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2.人体之精的生成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3.人体之精的功能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4.人体之精的分类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1.人体之气的概念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2.人体之气的生成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68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第九单元</w:t>
            </w:r>
          </w:p>
        </w:tc>
        <w:tc>
          <w:tcPr>
            <w:tcW w:w="184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68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精、气、血、津液、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624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2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二、气</w:t>
            </w: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2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3.人体之气的功能</w:t>
            </w:r>
          </w:p>
        </w:tc>
      </w:tr>
      <w:tr w:rsidR="00C75A79" w:rsidRPr="00C75A79" w:rsidTr="00C75A79">
        <w:trPr>
          <w:trHeight w:val="120"/>
          <w:tblCellSpacing w:w="0" w:type="dxa"/>
          <w:jc w:val="center"/>
        </w:trPr>
        <w:tc>
          <w:tcPr>
            <w:tcW w:w="88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09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神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4.人体之气的分类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5.人体之气的气化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1.血的基本概念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三、血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2.血的生成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3.血的运行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4.血的功能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88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line="7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  <w:pict>
                <v:shape id="_x0000_i1027" type="#_x0000_t75" alt="" style="width:.7pt;height:.7pt"/>
              </w:pict>
            </w:r>
          </w:p>
        </w:tc>
      </w:tr>
    </w:tbl>
    <w:p w:rsidR="00C75A79" w:rsidRPr="00C75A79" w:rsidRDefault="00C75A79" w:rsidP="00C75A79">
      <w:pPr>
        <w:widowControl/>
        <w:spacing w:after="217"/>
        <w:ind w:firstLine="480"/>
        <w:jc w:val="center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C75A79">
        <w:rPr>
          <w:rFonts w:ascii="微软雅黑" w:eastAsia="微软雅黑" w:hAnsi="微软雅黑" w:cs="宋体" w:hint="eastAsia"/>
          <w:color w:val="333333"/>
          <w:kern w:val="0"/>
          <w:sz w:val="22"/>
        </w:rPr>
        <w:br/>
      </w:r>
      <w:r w:rsidRPr="00C75A79">
        <w:rPr>
          <w:rFonts w:ascii="微软雅黑" w:eastAsia="微软雅黑" w:hAnsi="微软雅黑" w:cs="宋体"/>
          <w:color w:val="333333"/>
          <w:kern w:val="0"/>
          <w:sz w:val="22"/>
        </w:rPr>
        <w:pict>
          <v:shape id="_x0000_i1028" type="#_x0000_t75" alt="" style="width:1.35pt;height:.7pt"/>
        </w:pic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77"/>
        <w:gridCol w:w="1568"/>
        <w:gridCol w:w="2413"/>
        <w:gridCol w:w="3435"/>
        <w:gridCol w:w="43"/>
      </w:tblGrid>
      <w:tr w:rsidR="00C75A79" w:rsidRPr="00C75A79" w:rsidTr="00C75A79">
        <w:trPr>
          <w:trHeight w:val="285"/>
          <w:tblCellSpacing w:w="0" w:type="dxa"/>
          <w:jc w:val="center"/>
        </w:trPr>
        <w:tc>
          <w:tcPr>
            <w:tcW w:w="975" w:type="dxa"/>
            <w:tcBorders>
              <w:top w:val="single" w:sz="6" w:space="0" w:color="231F20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单元</w:t>
            </w:r>
          </w:p>
        </w:tc>
        <w:tc>
          <w:tcPr>
            <w:tcW w:w="271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细目</w:t>
            </w:r>
          </w:p>
        </w:tc>
        <w:tc>
          <w:tcPr>
            <w:tcW w:w="3945" w:type="dxa"/>
            <w:gridSpan w:val="2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要点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1.津液的基本概念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四、津液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2.津液的生成输布与排泄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3.津液的功能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1.人体之神的基本概念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五、神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2.人体之神的生成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68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第九单元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68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精、气、血、津液、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624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2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3.人体之神的分类</w:t>
            </w:r>
          </w:p>
        </w:tc>
      </w:tr>
      <w:tr w:rsidR="00C75A79" w:rsidRPr="00C75A79" w:rsidTr="00C75A79">
        <w:trPr>
          <w:trHeight w:val="120"/>
          <w:tblCellSpacing w:w="0" w:type="dxa"/>
          <w:jc w:val="center"/>
        </w:trPr>
        <w:tc>
          <w:tcPr>
            <w:tcW w:w="97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09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神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4.人体之神的作用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1.气与血的关系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30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六、精、气、血、津液、神之间的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2.气与津液的关系</w:t>
            </w:r>
          </w:p>
        </w:tc>
      </w:tr>
      <w:tr w:rsidR="00C75A79" w:rsidRPr="00C75A79" w:rsidTr="00C75A79">
        <w:trPr>
          <w:trHeight w:val="3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3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关系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</w:tr>
      <w:tr w:rsidR="00C75A79" w:rsidRPr="00C75A79" w:rsidTr="00C75A79">
        <w:trPr>
          <w:trHeight w:val="21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3.精、血、津液之间的关系</w:t>
            </w:r>
          </w:p>
        </w:tc>
      </w:tr>
      <w:tr w:rsidR="00C75A79" w:rsidRPr="00C75A79" w:rsidTr="00C75A79">
        <w:trPr>
          <w:trHeight w:val="4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4.精、气、神之间的关系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一、经络学说概述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1.经络的基本概念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2.经络系统的组成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1.十二经脉的走向规律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2.十二经脉的交接规律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二、十二经脉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3.十二经脉的分布规律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7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4.十二经脉的表里关系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5.十二经脉的流注次序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6.十二经脉循行中的重要部位和交接点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68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第十单元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68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经络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1.奇经八脉的含义及其循行和功能特点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7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三、奇经八脉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7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2.督脉、任脉、冲脉、带脉、跷脉和维脉的循行特</w:t>
            </w: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点和基本功能</w:t>
            </w: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1.经别的概念、特点和生理机能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四、经别、别络、经筋、皮部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2.别络的概念、特点和生理机能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3.经筋的概念、特点和生理机能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4.皮部的概念和应用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30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五、经络的生理机能和经络学说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1.经络的生理功能</w:t>
            </w:r>
          </w:p>
        </w:tc>
      </w:tr>
      <w:tr w:rsidR="00C75A79" w:rsidRPr="00C75A79" w:rsidTr="00C75A79">
        <w:trPr>
          <w:trHeight w:val="3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3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的应用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4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2.经络学说的应用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1.体质的概念</w:t>
            </w:r>
          </w:p>
        </w:tc>
      </w:tr>
      <w:tr w:rsidR="00C75A79" w:rsidRPr="00C75A79" w:rsidTr="00C75A79">
        <w:trPr>
          <w:trHeight w:val="6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一、体质的概念和构成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2.体质的构成</w:t>
            </w:r>
          </w:p>
        </w:tc>
      </w:tr>
      <w:tr w:rsidR="00C75A79" w:rsidRPr="00C75A79" w:rsidTr="00C75A79">
        <w:trPr>
          <w:trHeight w:val="6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3.体质的特点</w:t>
            </w:r>
          </w:p>
        </w:tc>
      </w:tr>
      <w:tr w:rsidR="00C75A79" w:rsidRPr="00C75A79" w:rsidTr="00C75A79">
        <w:trPr>
          <w:trHeight w:val="6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第十一单元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体质</w:t>
            </w: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二、体质的</w:t>
            </w:r>
            <w:hyperlink r:id="rId7" w:tgtFrame="_blank" w:tooltip="生理学" w:history="1">
              <w:r w:rsidRPr="00C75A79">
                <w:rPr>
                  <w:rFonts w:ascii="微软雅黑" w:eastAsia="微软雅黑" w:hAnsi="微软雅黑" w:cs="宋体" w:hint="eastAsia"/>
                  <w:color w:val="0000FF"/>
                  <w:kern w:val="0"/>
                  <w:sz w:val="22"/>
                </w:rPr>
                <w:t>生理学</w:t>
              </w:r>
            </w:hyperlink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基础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1.体质与脏腑精气血津液的关系</w:t>
            </w:r>
          </w:p>
        </w:tc>
      </w:tr>
      <w:tr w:rsidR="00C75A79" w:rsidRPr="00C75A79" w:rsidTr="00C75A79">
        <w:trPr>
          <w:trHeight w:val="6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</w:tr>
      <w:tr w:rsidR="00C75A79" w:rsidRPr="00C75A79" w:rsidTr="00C75A79">
        <w:trPr>
          <w:trHeight w:val="624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8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2.影响体质的因素</w:t>
            </w:r>
          </w:p>
        </w:tc>
      </w:tr>
      <w:tr w:rsidR="00C75A79" w:rsidRPr="00C75A79" w:rsidTr="00C75A79">
        <w:trPr>
          <w:trHeight w:val="16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6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6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1.体质与病因病机</w:t>
            </w:r>
          </w:p>
        </w:tc>
      </w:tr>
      <w:tr w:rsidR="00C75A79" w:rsidRPr="00C75A79" w:rsidTr="00C75A79">
        <w:trPr>
          <w:trHeight w:val="6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三、体质学说的应用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2.体质与诊治</w:t>
            </w:r>
          </w:p>
        </w:tc>
      </w:tr>
      <w:tr w:rsidR="00C75A79" w:rsidRPr="00C75A79" w:rsidTr="00C75A79">
        <w:trPr>
          <w:trHeight w:val="6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3.体质与养生</w:t>
            </w:r>
          </w:p>
        </w:tc>
      </w:tr>
      <w:tr w:rsidR="00C75A79" w:rsidRPr="00C75A79" w:rsidTr="00C75A79">
        <w:trPr>
          <w:trHeight w:val="60"/>
          <w:tblCellSpacing w:w="0" w:type="dxa"/>
          <w:jc w:val="center"/>
        </w:trPr>
        <w:tc>
          <w:tcPr>
            <w:tcW w:w="97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6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line="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  <w:pict>
                <v:shape id="_x0000_i1029" type="#_x0000_t75" alt="" style="width:.7pt;height:.7pt"/>
              </w:pict>
            </w:r>
          </w:p>
        </w:tc>
      </w:tr>
    </w:tbl>
    <w:p w:rsidR="00C75A79" w:rsidRPr="00C75A79" w:rsidRDefault="00C75A79" w:rsidP="00C75A79">
      <w:pPr>
        <w:widowControl/>
        <w:spacing w:after="217"/>
        <w:ind w:firstLine="480"/>
        <w:jc w:val="center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C75A79">
        <w:rPr>
          <w:rFonts w:ascii="微软雅黑" w:eastAsia="微软雅黑" w:hAnsi="微软雅黑" w:cs="宋体" w:hint="eastAsia"/>
          <w:color w:val="333333"/>
          <w:kern w:val="0"/>
          <w:sz w:val="22"/>
        </w:rPr>
        <w:br/>
      </w:r>
      <w:r w:rsidRPr="00C75A79">
        <w:rPr>
          <w:rFonts w:ascii="微软雅黑" w:eastAsia="微软雅黑" w:hAnsi="微软雅黑" w:cs="宋体"/>
          <w:color w:val="333333"/>
          <w:kern w:val="0"/>
          <w:sz w:val="22"/>
        </w:rPr>
        <w:pict>
          <v:shape id="_x0000_i1030" type="#_x0000_t75" alt="" style="width:1.35pt;height:.7pt"/>
        </w:pic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2"/>
        <w:gridCol w:w="1472"/>
        <w:gridCol w:w="2409"/>
        <w:gridCol w:w="3459"/>
        <w:gridCol w:w="44"/>
      </w:tblGrid>
      <w:tr w:rsidR="00C75A79" w:rsidRPr="00C75A79" w:rsidTr="00C75A79">
        <w:trPr>
          <w:trHeight w:val="285"/>
          <w:tblCellSpacing w:w="0" w:type="dxa"/>
          <w:jc w:val="center"/>
        </w:trPr>
        <w:tc>
          <w:tcPr>
            <w:tcW w:w="1065" w:type="dxa"/>
            <w:tcBorders>
              <w:top w:val="single" w:sz="6" w:space="0" w:color="231F20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单元</w:t>
            </w:r>
          </w:p>
        </w:tc>
        <w:tc>
          <w:tcPr>
            <w:tcW w:w="271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细目</w:t>
            </w:r>
          </w:p>
        </w:tc>
        <w:tc>
          <w:tcPr>
            <w:tcW w:w="3945" w:type="dxa"/>
            <w:gridSpan w:val="2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要点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1.六淫的概念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2.六淫的共同致病特点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3.六淫各自的性质及致病特点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（1）风邪的性质及致病特点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一、六淫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（2）寒邪的性质及致病特点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（3）暑邪的性质及致病特点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（4）湿邪的性质及致病特点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（5）燥邪的性质及致病特点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（6）火（热）邪的性质及致病特点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二、疠气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1.疠气的概念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7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2.疠气的致病特点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1.情志内伤的基本概念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第十二单元</w:t>
            </w:r>
          </w:p>
        </w:tc>
        <w:tc>
          <w:tcPr>
            <w:tcW w:w="166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病因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三、七情内伤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2.七情与脏腑精气的关系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3.情志内伤的致病特点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1.饮食不节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四、饮食失宜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2.饮食偏嗜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3.饮食不洁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五、劳逸失度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1.过度劳累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2.过度安逸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1.痰饮的概念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六、痰饮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2.痰饮的形成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3.痰饮的致病特点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1.瘀血的概念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七、瘀血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2.瘀血的形成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3.瘀血的致病特点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4.瘀血致病的症状特点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1.正气与邪气的概念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一、发病的基本原理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2.正气不足是发病的基础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7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3.邪气是发病的重要条件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第十三单元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发病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4.邪正相搏的胜负与发病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1.环境与发病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二、影响发病的主要因素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2.体质与发病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3.精神状态与发病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line="7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  <w:pict>
                <v:shape id="_x0000_i1031" type="#_x0000_t75" alt="" style="width:.7pt;height:.7pt"/>
              </w:pict>
            </w:r>
          </w:p>
        </w:tc>
      </w:tr>
    </w:tbl>
    <w:p w:rsidR="00C75A79" w:rsidRPr="00C75A79" w:rsidRDefault="00C75A79" w:rsidP="00C75A79">
      <w:pPr>
        <w:widowControl/>
        <w:spacing w:after="217"/>
        <w:ind w:firstLine="480"/>
        <w:jc w:val="center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C75A79">
        <w:rPr>
          <w:rFonts w:ascii="微软雅黑" w:eastAsia="微软雅黑" w:hAnsi="微软雅黑" w:cs="宋体" w:hint="eastAsia"/>
          <w:color w:val="333333"/>
          <w:kern w:val="0"/>
          <w:sz w:val="22"/>
        </w:rPr>
        <w:br/>
      </w:r>
      <w:r w:rsidRPr="00C75A79">
        <w:rPr>
          <w:rFonts w:ascii="微软雅黑" w:eastAsia="微软雅黑" w:hAnsi="微软雅黑" w:cs="宋体"/>
          <w:color w:val="333333"/>
          <w:kern w:val="0"/>
          <w:sz w:val="22"/>
        </w:rPr>
        <w:pict>
          <v:shape id="_x0000_i1032" type="#_x0000_t75" alt="" style="width:1.35pt;height:.7pt"/>
        </w:pic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6"/>
        <w:gridCol w:w="1477"/>
        <w:gridCol w:w="2418"/>
        <w:gridCol w:w="3443"/>
        <w:gridCol w:w="42"/>
      </w:tblGrid>
      <w:tr w:rsidR="00C75A79" w:rsidRPr="00C75A79" w:rsidTr="00C75A79">
        <w:trPr>
          <w:trHeight w:val="285"/>
          <w:tblCellSpacing w:w="0" w:type="dxa"/>
          <w:jc w:val="center"/>
        </w:trPr>
        <w:tc>
          <w:tcPr>
            <w:tcW w:w="1065" w:type="dxa"/>
            <w:tcBorders>
              <w:top w:val="single" w:sz="6" w:space="0" w:color="231F20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单元</w:t>
            </w:r>
          </w:p>
        </w:tc>
        <w:tc>
          <w:tcPr>
            <w:tcW w:w="271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细目</w:t>
            </w:r>
          </w:p>
        </w:tc>
        <w:tc>
          <w:tcPr>
            <w:tcW w:w="3945" w:type="dxa"/>
            <w:gridSpan w:val="2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要点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1.感邪即发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2.徐发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第十</w:t>
            </w: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lastRenderedPageBreak/>
              <w:t>三单元</w:t>
            </w:r>
          </w:p>
        </w:tc>
        <w:tc>
          <w:tcPr>
            <w:tcW w:w="166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lastRenderedPageBreak/>
              <w:t>发病</w:t>
            </w: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三、发病类型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3.伏而后发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624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8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4.继发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5.合病与并病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6.复发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一、邪正盛衰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1.邪正盛衰与虚实变化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2.邪正盛衰与疾病转归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1.阴阳偏盛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2.阴阳偏衰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二、阴阳失调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3.阴阳互损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4.阴阳格拒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5.阴阳亡失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6.阴阳转化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1.精的失常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三、精、气、血失常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2.气的失常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7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3.血的失常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lastRenderedPageBreak/>
              <w:t>第十四单元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病机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4.精、气、血关系失调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1.津液不足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四、津液代谢失常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2.津液输布、排泄障碍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3.津液与气血关系失调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1.内生“五邪”的概念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2.风气内动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五、内生“五邪”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3.寒从中生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4.湿浊内生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5.津伤化燥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6.火热内生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六、疾病传变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1.疾病传变的形式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7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2.病性转化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1.治未病的概念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第十</w:t>
            </w: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lastRenderedPageBreak/>
              <w:t>五单元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lastRenderedPageBreak/>
              <w:t>防治原则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一、预防</w:t>
            </w: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2.未病先防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3.既病防变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</w:tbl>
    <w:p w:rsidR="00C75A79" w:rsidRPr="00C75A79" w:rsidRDefault="00C75A79" w:rsidP="00C75A79">
      <w:pPr>
        <w:widowControl/>
        <w:spacing w:after="217"/>
        <w:ind w:firstLine="480"/>
        <w:jc w:val="center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>
        <w:rPr>
          <w:rFonts w:ascii="微软雅黑" w:eastAsia="微软雅黑" w:hAnsi="微软雅黑" w:cs="宋体"/>
          <w:noProof/>
          <w:color w:val="333333"/>
          <w:kern w:val="0"/>
          <w:sz w:val="22"/>
        </w:rPr>
        <w:drawing>
          <wp:inline distT="0" distB="0" distL="0" distR="0">
            <wp:extent cx="8890" cy="17145"/>
            <wp:effectExtent l="0" t="0" r="0" b="0"/>
            <wp:docPr id="9" name="图片 9" descr="C:\Users\DELL\AppData\Local\Temp\msohtmlclip1\01\clip_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Temp\msohtmlclip1\01\clip_image003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5"/>
        <w:gridCol w:w="1477"/>
        <w:gridCol w:w="2418"/>
        <w:gridCol w:w="3486"/>
      </w:tblGrid>
      <w:tr w:rsidR="00C75A79" w:rsidRPr="00C75A79" w:rsidTr="00C75A79">
        <w:trPr>
          <w:trHeight w:val="285"/>
          <w:tblCellSpacing w:w="0" w:type="dxa"/>
          <w:jc w:val="center"/>
        </w:trPr>
        <w:tc>
          <w:tcPr>
            <w:tcW w:w="1065" w:type="dxa"/>
            <w:tcBorders>
              <w:top w:val="single" w:sz="6" w:space="0" w:color="231F20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单元</w:t>
            </w:r>
          </w:p>
        </w:tc>
        <w:tc>
          <w:tcPr>
            <w:tcW w:w="271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细目</w:t>
            </w:r>
          </w:p>
        </w:tc>
        <w:tc>
          <w:tcPr>
            <w:tcW w:w="3945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要点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1.治则、治法的基本概念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2.正治与反治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3.治标与治本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第十五单元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防治原则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二、治则</w:t>
            </w: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4.扶正与祛邪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5.调整阴阳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6.调理精气血津液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7.三因制宜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25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一、养生</w:t>
            </w: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1.养生的基本概念</w:t>
            </w: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841"/>
          <w:tblCellSpacing w:w="0" w:type="dxa"/>
          <w:jc w:val="center"/>
        </w:trPr>
        <w:tc>
          <w:tcPr>
            <w:tcW w:w="1065" w:type="dxa"/>
            <w:vMerge w:val="restart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77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第十六单元</w:t>
            </w:r>
          </w:p>
        </w:tc>
        <w:tc>
          <w:tcPr>
            <w:tcW w:w="166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77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养生与寿夭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177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2.养生的原则与方法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624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231F20"/>
              <w:bottom w:val="nil"/>
              <w:right w:val="nil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271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8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二、生命的寿夭</w:t>
            </w:r>
          </w:p>
        </w:tc>
        <w:tc>
          <w:tcPr>
            <w:tcW w:w="3945" w:type="dxa"/>
            <w:vMerge w:val="restart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82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1.生命的寿夭规律</w:t>
            </w:r>
          </w:p>
        </w:tc>
      </w:tr>
      <w:tr w:rsidR="00C75A79" w:rsidRPr="00C75A79" w:rsidTr="00C75A79">
        <w:trPr>
          <w:trHeight w:val="18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</w:tr>
      <w:tr w:rsidR="00C75A79" w:rsidRPr="00C75A79" w:rsidTr="00C75A79">
        <w:trPr>
          <w:trHeight w:val="75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6" w:space="0" w:color="231F20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8"/>
              </w:rPr>
            </w:pPr>
          </w:p>
        </w:tc>
      </w:tr>
      <w:tr w:rsidR="00C75A79" w:rsidRPr="00C75A79" w:rsidTr="00C75A79">
        <w:trPr>
          <w:trHeight w:val="90"/>
          <w:tblCellSpacing w:w="0" w:type="dxa"/>
          <w:jc w:val="center"/>
        </w:trPr>
        <w:tc>
          <w:tcPr>
            <w:tcW w:w="1065" w:type="dxa"/>
            <w:tcBorders>
              <w:top w:val="nil"/>
              <w:left w:val="single" w:sz="6" w:space="0" w:color="231F20"/>
              <w:bottom w:val="nil"/>
              <w:right w:val="nil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231F20"/>
            </w:tcBorders>
            <w:vAlign w:val="center"/>
            <w:hideMark/>
          </w:tcPr>
          <w:p w:rsidR="00C75A79" w:rsidRPr="00C75A79" w:rsidRDefault="00C75A79" w:rsidP="00C75A7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single" w:sz="6" w:space="0" w:color="231F20"/>
            </w:tcBorders>
            <w:vAlign w:val="bottom"/>
            <w:hideMark/>
          </w:tcPr>
          <w:p w:rsidR="00C75A79" w:rsidRPr="00C75A79" w:rsidRDefault="00C75A79" w:rsidP="00C75A79">
            <w:pPr>
              <w:widowControl/>
              <w:spacing w:after="217" w:line="90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C75A79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2.决定寿夭的基本因素</w:t>
            </w:r>
          </w:p>
        </w:tc>
      </w:tr>
    </w:tbl>
    <w:p w:rsidR="00514E47" w:rsidRDefault="00514E47"/>
    <w:sectPr w:rsidR="00514E47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F31" w:rsidRDefault="00834F31" w:rsidP="00C75A79">
      <w:r>
        <w:separator/>
      </w:r>
    </w:p>
  </w:endnote>
  <w:endnote w:type="continuationSeparator" w:id="0">
    <w:p w:rsidR="00834F31" w:rsidRDefault="00834F31" w:rsidP="00C75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F31" w:rsidRDefault="00834F31" w:rsidP="00C75A79">
      <w:r>
        <w:separator/>
      </w:r>
    </w:p>
  </w:footnote>
  <w:footnote w:type="continuationSeparator" w:id="0">
    <w:p w:rsidR="00834F31" w:rsidRDefault="00834F31" w:rsidP="00C75A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5A79"/>
    <w:rsid w:val="00033A79"/>
    <w:rsid w:val="000A274A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60265"/>
    <w:rsid w:val="007773E4"/>
    <w:rsid w:val="007A6A4A"/>
    <w:rsid w:val="007C651C"/>
    <w:rsid w:val="00810D76"/>
    <w:rsid w:val="008206CD"/>
    <w:rsid w:val="00834F31"/>
    <w:rsid w:val="00836D74"/>
    <w:rsid w:val="00866B9E"/>
    <w:rsid w:val="00880265"/>
    <w:rsid w:val="008E4F24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62333"/>
    <w:rsid w:val="00B754B9"/>
    <w:rsid w:val="00B85CB6"/>
    <w:rsid w:val="00BA4D95"/>
    <w:rsid w:val="00BB51F9"/>
    <w:rsid w:val="00BF509B"/>
    <w:rsid w:val="00C452CC"/>
    <w:rsid w:val="00C7538D"/>
    <w:rsid w:val="00C75569"/>
    <w:rsid w:val="00C75A7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71066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5A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5A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5A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5A79"/>
    <w:rPr>
      <w:sz w:val="18"/>
      <w:szCs w:val="18"/>
    </w:rPr>
  </w:style>
  <w:style w:type="paragraph" w:styleId="a5">
    <w:name w:val="Normal (Web)"/>
    <w:basedOn w:val="a"/>
    <w:uiPriority w:val="99"/>
    <w:unhideWhenUsed/>
    <w:rsid w:val="00C75A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75A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C75A79"/>
    <w:rPr>
      <w:color w:val="800080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C75A7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75A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9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://www.med66.com/web/shenglixu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66.com/web/bianzhenglunzheng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910</Words>
  <Characters>5187</Characters>
  <Application>Microsoft Office Word</Application>
  <DocSecurity>0</DocSecurity>
  <Lines>43</Lines>
  <Paragraphs>12</Paragraphs>
  <ScaleCrop>false</ScaleCrop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2020-01-21T06:05:00Z</dcterms:created>
  <dcterms:modified xsi:type="dcterms:W3CDTF">2020-01-21T06:06:00Z</dcterms:modified>
</cp:coreProperties>
</file>