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auto"/>
        <w:jc w:val="center"/>
        <w:rPr>
          <w:b/>
          <w:bCs/>
          <w:sz w:val="32"/>
          <w:szCs w:val="36"/>
        </w:rPr>
      </w:pPr>
      <w:r>
        <w:rPr>
          <w:rFonts w:hint="eastAsia"/>
          <w:b/>
          <w:bCs/>
          <w:sz w:val="32"/>
          <w:szCs w:val="36"/>
        </w:rPr>
        <w:t>杭州市老年病医院公开招聘高层次、紧缺专业人才计划</w:t>
      </w:r>
    </w:p>
    <w:p>
      <w:pPr>
        <w:snapToGrid w:val="0"/>
        <w:spacing w:line="360" w:lineRule="auto"/>
        <w:ind w:firstLine="31680" w:firstLineChars="200"/>
        <w:rPr>
          <w:sz w:val="24"/>
          <w:szCs w:val="24"/>
        </w:rPr>
      </w:pPr>
      <w:r>
        <w:rPr>
          <w:rFonts w:hint="eastAsia"/>
          <w:sz w:val="24"/>
          <w:szCs w:val="24"/>
        </w:rPr>
        <w:t>杭州市老年病医院为杭州市卫生和计划生育委员会直属的财政适当补助事业单位，是杭州市第一人民医院集团成员单位，经省卫生计生委批准，按三级老年病专科医院建设。因医院业务发展需要，面向社会公开招聘高层次、紧缺专业人才</w:t>
      </w:r>
      <w:r>
        <w:rPr>
          <w:rFonts w:hint="eastAsia"/>
          <w:sz w:val="24"/>
          <w:szCs w:val="24"/>
          <w:lang w:val="en-US" w:eastAsia="zh-CN"/>
        </w:rPr>
        <w:t>9</w:t>
      </w:r>
      <w:r>
        <w:rPr>
          <w:rFonts w:hint="eastAsia"/>
          <w:sz w:val="24"/>
          <w:szCs w:val="24"/>
        </w:rPr>
        <w:t>名，现将招聘计划公告如下：</w:t>
      </w:r>
    </w:p>
    <w:p>
      <w:pPr>
        <w:numPr>
          <w:ilvl w:val="0"/>
          <w:numId w:val="1"/>
        </w:numPr>
        <w:snapToGrid w:val="0"/>
        <w:spacing w:line="360" w:lineRule="auto"/>
        <w:ind w:firstLine="31680" w:firstLineChars="200"/>
        <w:rPr>
          <w:b/>
          <w:bCs/>
          <w:sz w:val="24"/>
          <w:szCs w:val="24"/>
        </w:rPr>
      </w:pPr>
      <w:r>
        <w:rPr>
          <w:rFonts w:hint="eastAsia"/>
          <w:b/>
          <w:bCs/>
          <w:sz w:val="24"/>
          <w:szCs w:val="24"/>
        </w:rPr>
        <w:t>招聘岗位及条件</w:t>
      </w:r>
      <w:r>
        <w:rPr>
          <w:b/>
          <w:bCs/>
          <w:sz w:val="24"/>
          <w:szCs w:val="24"/>
        </w:rPr>
        <w:t xml:space="preserve"> </w:t>
      </w:r>
    </w:p>
    <w:tbl>
      <w:tblPr>
        <w:tblStyle w:val="6"/>
        <w:tblpPr w:leftFromText="181" w:rightFromText="181" w:vertAnchor="text" w:tblpXSpec="center" w:tblpY="1"/>
        <w:tblOverlap w:val="never"/>
        <w:tblW w:w="93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097"/>
        <w:gridCol w:w="1037"/>
        <w:gridCol w:w="571"/>
        <w:gridCol w:w="2161"/>
        <w:gridCol w:w="2278"/>
        <w:gridCol w:w="1634"/>
      </w:tblGrid>
      <w:tr>
        <w:trPr>
          <w:tblHeader/>
          <w:jc w:val="center"/>
        </w:trPr>
        <w:tc>
          <w:tcPr>
            <w:tcW w:w="621" w:type="dxa"/>
            <w:vAlign w:val="center"/>
          </w:tcPr>
          <w:p>
            <w:pPr>
              <w:jc w:val="center"/>
              <w:rPr>
                <w:rFonts w:ascii="宋体" w:cs="宋体"/>
                <w:sz w:val="20"/>
                <w:szCs w:val="20"/>
              </w:rPr>
            </w:pPr>
            <w:r>
              <w:rPr>
                <w:rFonts w:hint="eastAsia" w:ascii="宋体" w:hAnsi="宋体" w:cs="宋体"/>
                <w:sz w:val="20"/>
                <w:szCs w:val="20"/>
              </w:rPr>
              <w:t>序号</w:t>
            </w:r>
          </w:p>
        </w:tc>
        <w:tc>
          <w:tcPr>
            <w:tcW w:w="1097" w:type="dxa"/>
            <w:vAlign w:val="center"/>
          </w:tcPr>
          <w:p>
            <w:pPr>
              <w:jc w:val="center"/>
              <w:rPr>
                <w:rFonts w:ascii="宋体" w:cs="宋体"/>
                <w:sz w:val="20"/>
                <w:szCs w:val="20"/>
              </w:rPr>
            </w:pPr>
            <w:r>
              <w:rPr>
                <w:rFonts w:hint="eastAsia" w:ascii="宋体" w:hAnsi="宋体" w:cs="宋体"/>
                <w:sz w:val="20"/>
                <w:szCs w:val="20"/>
              </w:rPr>
              <w:t>岗位</w:t>
            </w:r>
          </w:p>
        </w:tc>
        <w:tc>
          <w:tcPr>
            <w:tcW w:w="1037" w:type="dxa"/>
            <w:vAlign w:val="center"/>
          </w:tcPr>
          <w:p>
            <w:pPr>
              <w:jc w:val="center"/>
              <w:rPr>
                <w:rFonts w:ascii="宋体" w:cs="宋体"/>
                <w:sz w:val="20"/>
                <w:szCs w:val="20"/>
              </w:rPr>
            </w:pPr>
            <w:r>
              <w:rPr>
                <w:rFonts w:hint="eastAsia" w:ascii="宋体" w:hAnsi="宋体" w:cs="宋体"/>
                <w:sz w:val="20"/>
                <w:szCs w:val="20"/>
              </w:rPr>
              <w:t>岗位类别及等级</w:t>
            </w:r>
          </w:p>
        </w:tc>
        <w:tc>
          <w:tcPr>
            <w:tcW w:w="571" w:type="dxa"/>
            <w:vAlign w:val="center"/>
          </w:tcPr>
          <w:p>
            <w:pPr>
              <w:jc w:val="center"/>
              <w:rPr>
                <w:rFonts w:ascii="宋体" w:cs="宋体"/>
                <w:sz w:val="20"/>
                <w:szCs w:val="20"/>
              </w:rPr>
            </w:pPr>
            <w:r>
              <w:rPr>
                <w:rFonts w:hint="eastAsia" w:ascii="宋体" w:hAnsi="宋体" w:cs="宋体"/>
                <w:sz w:val="20"/>
                <w:szCs w:val="20"/>
              </w:rPr>
              <w:t>人数</w:t>
            </w:r>
          </w:p>
        </w:tc>
        <w:tc>
          <w:tcPr>
            <w:tcW w:w="2161" w:type="dxa"/>
            <w:vAlign w:val="center"/>
          </w:tcPr>
          <w:p>
            <w:pPr>
              <w:jc w:val="center"/>
              <w:rPr>
                <w:rFonts w:ascii="宋体" w:cs="宋体"/>
                <w:sz w:val="20"/>
                <w:szCs w:val="20"/>
              </w:rPr>
            </w:pPr>
            <w:r>
              <w:rPr>
                <w:rFonts w:hint="eastAsia" w:ascii="宋体" w:hAnsi="宋体" w:cs="宋体"/>
                <w:sz w:val="20"/>
                <w:szCs w:val="20"/>
              </w:rPr>
              <w:t>学历（学位）及职称要求</w:t>
            </w:r>
          </w:p>
        </w:tc>
        <w:tc>
          <w:tcPr>
            <w:tcW w:w="2278" w:type="dxa"/>
            <w:vAlign w:val="center"/>
          </w:tcPr>
          <w:p>
            <w:pPr>
              <w:jc w:val="center"/>
              <w:rPr>
                <w:rFonts w:ascii="宋体" w:cs="宋体"/>
                <w:sz w:val="20"/>
                <w:szCs w:val="20"/>
              </w:rPr>
            </w:pPr>
            <w:r>
              <w:rPr>
                <w:rFonts w:hint="eastAsia" w:ascii="宋体" w:hAnsi="宋体" w:cs="宋体"/>
                <w:sz w:val="20"/>
                <w:szCs w:val="20"/>
              </w:rPr>
              <w:t>专业要求</w:t>
            </w:r>
          </w:p>
        </w:tc>
        <w:tc>
          <w:tcPr>
            <w:tcW w:w="1634" w:type="dxa"/>
            <w:vAlign w:val="center"/>
          </w:tcPr>
          <w:p>
            <w:pPr>
              <w:jc w:val="center"/>
              <w:rPr>
                <w:rFonts w:ascii="宋体" w:cs="宋体"/>
                <w:sz w:val="20"/>
                <w:szCs w:val="20"/>
              </w:rPr>
            </w:pPr>
            <w:r>
              <w:rPr>
                <w:rFonts w:hint="eastAsia" w:ascii="宋体" w:hAnsi="宋体" w:cs="宋体"/>
                <w:sz w:val="20"/>
                <w:szCs w:val="20"/>
              </w:rPr>
              <w:t>其他条件</w:t>
            </w:r>
          </w:p>
        </w:tc>
      </w:tr>
      <w:tr>
        <w:trPr>
          <w:trHeight w:val="681" w:hRule="atLeast"/>
          <w:tblHeader/>
          <w:jc w:val="center"/>
        </w:trPr>
        <w:tc>
          <w:tcPr>
            <w:tcW w:w="62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1</w:t>
            </w:r>
          </w:p>
        </w:tc>
        <w:tc>
          <w:tcPr>
            <w:tcW w:w="1097" w:type="dxa"/>
            <w:vAlign w:val="center"/>
          </w:tcPr>
          <w:p>
            <w:pPr>
              <w:jc w:val="center"/>
              <w:rPr>
                <w:rFonts w:ascii="宋体" w:cs="宋体"/>
                <w:dstrike w:val="0"/>
                <w:color w:val="auto"/>
                <w:sz w:val="20"/>
                <w:szCs w:val="20"/>
              </w:rPr>
            </w:pPr>
            <w:r>
              <w:rPr>
                <w:rFonts w:hint="eastAsia" w:ascii="宋体" w:hAnsi="宋体" w:cs="宋体"/>
                <w:strike w:val="0"/>
                <w:dstrike w:val="0"/>
                <w:color w:val="auto"/>
                <w:sz w:val="20"/>
                <w:szCs w:val="20"/>
              </w:rPr>
              <w:t>普内科医师</w:t>
            </w:r>
            <w:r>
              <w:rPr>
                <w:rFonts w:hint="eastAsia" w:ascii="宋体" w:hAnsi="宋体" w:cs="宋体"/>
                <w:strike w:val="0"/>
                <w:dstrike w:val="0"/>
                <w:color w:val="auto"/>
                <w:sz w:val="20"/>
                <w:szCs w:val="20"/>
                <w:lang w:val="en-US" w:eastAsia="zh-CN"/>
              </w:rPr>
              <w:t>1</w:t>
            </w:r>
          </w:p>
        </w:tc>
        <w:tc>
          <w:tcPr>
            <w:tcW w:w="1037" w:type="dxa"/>
            <w:vMerge w:val="restart"/>
            <w:vAlign w:val="center"/>
          </w:tcPr>
          <w:p>
            <w:pPr>
              <w:jc w:val="center"/>
              <w:rPr>
                <w:rFonts w:ascii="宋体" w:cs="宋体"/>
                <w:sz w:val="20"/>
                <w:szCs w:val="20"/>
              </w:rPr>
            </w:pPr>
            <w:r>
              <w:rPr>
                <w:rFonts w:hint="eastAsia" w:ascii="宋体" w:cs="宋体"/>
                <w:sz w:val="20"/>
                <w:szCs w:val="20"/>
              </w:rPr>
              <w:t>专业技术</w:t>
            </w:r>
            <w:r>
              <w:rPr>
                <w:rFonts w:hint="eastAsia" w:ascii="宋体" w:cs="宋体"/>
                <w:sz w:val="20"/>
                <w:szCs w:val="20"/>
                <w:lang w:val="en-US" w:eastAsia="zh-CN"/>
              </w:rPr>
              <w:t>岗位</w:t>
            </w:r>
            <w:r>
              <w:rPr>
                <w:rFonts w:hint="eastAsia" w:ascii="宋体" w:cs="宋体"/>
                <w:sz w:val="20"/>
                <w:szCs w:val="20"/>
                <w:lang w:eastAsia="zh-CN"/>
              </w:rPr>
              <w:t>，</w:t>
            </w:r>
            <w:r>
              <w:rPr>
                <w:rFonts w:hint="eastAsia" w:ascii="宋体" w:cs="宋体"/>
                <w:sz w:val="20"/>
                <w:szCs w:val="20"/>
              </w:rPr>
              <w:t>十级以下</w:t>
            </w:r>
          </w:p>
        </w:tc>
        <w:tc>
          <w:tcPr>
            <w:tcW w:w="57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2</w:t>
            </w:r>
          </w:p>
        </w:tc>
        <w:tc>
          <w:tcPr>
            <w:tcW w:w="2161" w:type="dxa"/>
            <w:vMerge w:val="restart"/>
            <w:vAlign w:val="center"/>
          </w:tcPr>
          <w:p>
            <w:pPr>
              <w:ind w:right="-54" w:rightChars="-26"/>
              <w:rPr>
                <w:rFonts w:hint="eastAsia" w:ascii="宋体" w:eastAsia="宋体" w:cs="宋体"/>
                <w:sz w:val="20"/>
                <w:szCs w:val="20"/>
                <w:lang w:val="en-US" w:eastAsia="zh-CN"/>
              </w:rPr>
            </w:pPr>
            <w:r>
              <w:rPr>
                <w:rFonts w:hint="eastAsia" w:ascii="宋体" w:cs="宋体"/>
                <w:sz w:val="20"/>
                <w:szCs w:val="20"/>
                <w:lang w:val="en-US" w:eastAsia="zh-CN"/>
              </w:rPr>
              <w:t>硕士研究生及以上学历学位</w:t>
            </w:r>
          </w:p>
        </w:tc>
        <w:tc>
          <w:tcPr>
            <w:tcW w:w="2278" w:type="dxa"/>
            <w:vAlign w:val="center"/>
          </w:tcPr>
          <w:p>
            <w:pPr>
              <w:rPr>
                <w:rFonts w:ascii="宋体" w:cs="宋体"/>
                <w:sz w:val="20"/>
                <w:szCs w:val="20"/>
              </w:rPr>
            </w:pPr>
            <w:r>
              <w:rPr>
                <w:rFonts w:hint="eastAsia" w:ascii="宋体" w:hAnsi="宋体" w:cs="宋体"/>
                <w:sz w:val="20"/>
                <w:szCs w:val="20"/>
              </w:rPr>
              <w:t>临床医学、内科学、消化内科学、心血管内科学、呼吸内科学、神经病学、内分泌学、肾病学</w:t>
            </w:r>
            <w:r>
              <w:rPr>
                <w:rFonts w:hint="eastAsia" w:ascii="宋体" w:hAnsi="宋体" w:cs="宋体"/>
                <w:sz w:val="20"/>
                <w:szCs w:val="20"/>
                <w:lang w:eastAsia="zh-CN"/>
              </w:rPr>
              <w:t>、</w:t>
            </w:r>
            <w:r>
              <w:rPr>
                <w:rFonts w:hint="eastAsia" w:ascii="宋体" w:hAnsi="宋体" w:cs="宋体"/>
                <w:sz w:val="20"/>
                <w:szCs w:val="20"/>
                <w:lang w:val="en-US" w:eastAsia="zh-CN"/>
              </w:rPr>
              <w:t>老年医学</w:t>
            </w:r>
          </w:p>
        </w:tc>
        <w:tc>
          <w:tcPr>
            <w:tcW w:w="1634" w:type="dxa"/>
            <w:vMerge w:val="restart"/>
            <w:vAlign w:val="center"/>
          </w:tcPr>
          <w:p>
            <w:pPr>
              <w:jc w:val="both"/>
              <w:rPr>
                <w:rFonts w:ascii="宋体" w:cs="宋体"/>
                <w:sz w:val="20"/>
                <w:szCs w:val="20"/>
              </w:rPr>
            </w:pPr>
            <w:r>
              <w:rPr>
                <w:rFonts w:ascii="宋体" w:hAnsi="宋体" w:cs="宋体"/>
                <w:sz w:val="20"/>
                <w:szCs w:val="20"/>
              </w:rPr>
              <w:t>2017</w:t>
            </w:r>
            <w:r>
              <w:rPr>
                <w:rFonts w:hint="eastAsia" w:ascii="宋体" w:hAnsi="宋体" w:cs="宋体"/>
                <w:sz w:val="20"/>
                <w:szCs w:val="20"/>
              </w:rPr>
              <w:t>年全日制普通高校应届毕业生</w:t>
            </w:r>
          </w:p>
        </w:tc>
      </w:tr>
      <w:tr>
        <w:tblPrEx>
          <w:tblLayout w:type="fixed"/>
        </w:tblPrEx>
        <w:trPr>
          <w:trHeight w:val="681" w:hRule="atLeast"/>
          <w:tblHeader/>
          <w:jc w:val="center"/>
        </w:trPr>
        <w:tc>
          <w:tcPr>
            <w:tcW w:w="62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2</w:t>
            </w:r>
          </w:p>
        </w:tc>
        <w:tc>
          <w:tcPr>
            <w:tcW w:w="1097" w:type="dxa"/>
            <w:vAlign w:val="center"/>
          </w:tcPr>
          <w:p>
            <w:pPr>
              <w:jc w:val="center"/>
              <w:rPr>
                <w:rFonts w:ascii="宋体" w:cs="宋体"/>
                <w:dstrike w:val="0"/>
                <w:color w:val="auto"/>
                <w:sz w:val="20"/>
                <w:szCs w:val="20"/>
              </w:rPr>
            </w:pPr>
            <w:r>
              <w:rPr>
                <w:rFonts w:hint="eastAsia" w:ascii="宋体" w:hAnsi="宋体" w:cs="宋体"/>
                <w:strike w:val="0"/>
                <w:dstrike w:val="0"/>
                <w:color w:val="auto"/>
                <w:sz w:val="20"/>
                <w:szCs w:val="20"/>
              </w:rPr>
              <w:t>重</w:t>
            </w:r>
            <w:r>
              <w:rPr>
                <w:rFonts w:hint="eastAsia" w:ascii="宋体" w:hAnsi="宋体" w:cs="宋体"/>
                <w:strike w:val="0"/>
                <w:dstrike w:val="0"/>
                <w:color w:val="auto"/>
                <w:sz w:val="20"/>
                <w:szCs w:val="20"/>
                <w:lang w:val="en-US" w:eastAsia="zh-CN"/>
              </w:rPr>
              <w:t>症</w:t>
            </w:r>
            <w:r>
              <w:rPr>
                <w:rFonts w:hint="eastAsia" w:ascii="宋体" w:hAnsi="宋体" w:cs="宋体"/>
                <w:strike w:val="0"/>
                <w:dstrike w:val="0"/>
                <w:color w:val="auto"/>
                <w:sz w:val="20"/>
                <w:szCs w:val="20"/>
              </w:rPr>
              <w:t>医学科医师</w:t>
            </w:r>
            <w:r>
              <w:rPr>
                <w:rFonts w:hint="eastAsia" w:ascii="宋体" w:hAnsi="宋体" w:cs="宋体"/>
                <w:strike w:val="0"/>
                <w:dstrike w:val="0"/>
                <w:color w:val="auto"/>
                <w:sz w:val="20"/>
                <w:szCs w:val="20"/>
                <w:lang w:val="en-US" w:eastAsia="zh-CN"/>
              </w:rPr>
              <w:t>1</w:t>
            </w:r>
          </w:p>
        </w:tc>
        <w:tc>
          <w:tcPr>
            <w:tcW w:w="1037" w:type="dxa"/>
            <w:vMerge w:val="continue"/>
            <w:vAlign w:val="center"/>
          </w:tcPr>
          <w:p>
            <w:pPr>
              <w:jc w:val="center"/>
              <w:rPr>
                <w:rFonts w:ascii="宋体" w:cs="宋体"/>
                <w:sz w:val="20"/>
                <w:szCs w:val="20"/>
              </w:rPr>
            </w:pPr>
          </w:p>
        </w:tc>
        <w:tc>
          <w:tcPr>
            <w:tcW w:w="57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1</w:t>
            </w:r>
          </w:p>
        </w:tc>
        <w:tc>
          <w:tcPr>
            <w:tcW w:w="2161" w:type="dxa"/>
            <w:vMerge w:val="continue"/>
            <w:vAlign w:val="center"/>
          </w:tcPr>
          <w:p>
            <w:pPr>
              <w:rPr>
                <w:rFonts w:ascii="宋体" w:cs="宋体"/>
                <w:sz w:val="20"/>
                <w:szCs w:val="20"/>
              </w:rPr>
            </w:pPr>
          </w:p>
        </w:tc>
        <w:tc>
          <w:tcPr>
            <w:tcW w:w="2278" w:type="dxa"/>
            <w:vAlign w:val="center"/>
          </w:tcPr>
          <w:p>
            <w:pPr>
              <w:rPr>
                <w:rFonts w:ascii="宋体" w:cs="宋体"/>
                <w:sz w:val="20"/>
                <w:szCs w:val="20"/>
              </w:rPr>
            </w:pPr>
            <w:r>
              <w:rPr>
                <w:rFonts w:hint="eastAsia" w:ascii="宋体" w:hAnsi="宋体" w:cs="宋体"/>
                <w:sz w:val="20"/>
                <w:szCs w:val="20"/>
              </w:rPr>
              <w:t>临床医学、内科学、外科学、重症医学</w:t>
            </w:r>
            <w:r>
              <w:rPr>
                <w:rFonts w:hint="eastAsia" w:ascii="宋体" w:hAnsi="宋体" w:cs="宋体"/>
                <w:sz w:val="20"/>
                <w:szCs w:val="20"/>
                <w:lang w:eastAsia="zh-CN"/>
              </w:rPr>
              <w:t>、</w:t>
            </w:r>
            <w:r>
              <w:rPr>
                <w:rFonts w:hint="eastAsia" w:ascii="宋体" w:hAnsi="宋体" w:cs="宋体"/>
                <w:sz w:val="20"/>
                <w:szCs w:val="20"/>
                <w:lang w:val="en-US" w:eastAsia="zh-CN"/>
              </w:rPr>
              <w:t>急诊医学</w:t>
            </w:r>
          </w:p>
        </w:tc>
        <w:tc>
          <w:tcPr>
            <w:tcW w:w="1634" w:type="dxa"/>
            <w:vMerge w:val="continue"/>
          </w:tcPr>
          <w:p>
            <w:pPr>
              <w:rPr>
                <w:rFonts w:ascii="宋体" w:cs="宋体"/>
                <w:sz w:val="20"/>
                <w:szCs w:val="20"/>
              </w:rPr>
            </w:pPr>
          </w:p>
        </w:tc>
      </w:tr>
      <w:tr>
        <w:tblPrEx>
          <w:tblLayout w:type="fixed"/>
        </w:tblPrEx>
        <w:trPr>
          <w:trHeight w:val="681" w:hRule="atLeast"/>
          <w:tblHeader/>
          <w:jc w:val="center"/>
        </w:trPr>
        <w:tc>
          <w:tcPr>
            <w:tcW w:w="621" w:type="dxa"/>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t>3</w:t>
            </w:r>
          </w:p>
        </w:tc>
        <w:tc>
          <w:tcPr>
            <w:tcW w:w="1097" w:type="dxa"/>
            <w:vAlign w:val="center"/>
          </w:tcPr>
          <w:p>
            <w:pPr>
              <w:jc w:val="center"/>
              <w:rPr>
                <w:rFonts w:hint="eastAsia" w:ascii="宋体" w:hAnsi="宋体" w:eastAsia="宋体" w:cs="宋体"/>
                <w:strike w:val="0"/>
                <w:dstrike w:val="0"/>
                <w:color w:val="auto"/>
                <w:sz w:val="20"/>
                <w:szCs w:val="20"/>
                <w:lang w:val="en-US" w:eastAsia="zh-CN"/>
              </w:rPr>
            </w:pPr>
            <w:r>
              <w:rPr>
                <w:rFonts w:hint="eastAsia" w:ascii="宋体" w:hAnsi="宋体" w:cs="宋体"/>
                <w:strike w:val="0"/>
                <w:dstrike w:val="0"/>
                <w:color w:val="auto"/>
                <w:sz w:val="20"/>
                <w:szCs w:val="20"/>
                <w:lang w:val="en-US" w:eastAsia="zh-CN"/>
              </w:rPr>
              <w:t>临床心理科医师</w:t>
            </w:r>
          </w:p>
        </w:tc>
        <w:tc>
          <w:tcPr>
            <w:tcW w:w="1037" w:type="dxa"/>
            <w:vMerge w:val="continue"/>
            <w:vAlign w:val="center"/>
          </w:tcPr>
          <w:p>
            <w:pPr>
              <w:jc w:val="center"/>
              <w:rPr>
                <w:rFonts w:ascii="宋体" w:cs="宋体"/>
                <w:sz w:val="20"/>
                <w:szCs w:val="20"/>
              </w:rPr>
            </w:pPr>
          </w:p>
        </w:tc>
        <w:tc>
          <w:tcPr>
            <w:tcW w:w="571" w:type="dxa"/>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t>1</w:t>
            </w:r>
          </w:p>
        </w:tc>
        <w:tc>
          <w:tcPr>
            <w:tcW w:w="2161" w:type="dxa"/>
            <w:vMerge w:val="continue"/>
            <w:vAlign w:val="center"/>
          </w:tcPr>
          <w:p>
            <w:pPr>
              <w:rPr>
                <w:rFonts w:ascii="宋体" w:cs="宋体"/>
                <w:sz w:val="20"/>
                <w:szCs w:val="20"/>
              </w:rPr>
            </w:pPr>
          </w:p>
        </w:tc>
        <w:tc>
          <w:tcPr>
            <w:tcW w:w="2278" w:type="dxa"/>
            <w:vAlign w:val="center"/>
          </w:tcPr>
          <w:p>
            <w:pPr>
              <w:rPr>
                <w:rFonts w:hint="eastAsia" w:ascii="宋体" w:hAnsi="宋体" w:cs="宋体"/>
                <w:sz w:val="20"/>
                <w:szCs w:val="20"/>
              </w:rPr>
            </w:pPr>
            <w:r>
              <w:rPr>
                <w:rFonts w:hint="eastAsia" w:ascii="宋体" w:hAnsi="宋体" w:cs="宋体"/>
                <w:sz w:val="20"/>
                <w:szCs w:val="20"/>
                <w:lang w:val="en-US" w:eastAsia="zh-CN"/>
              </w:rPr>
              <w:t>临床医学、</w:t>
            </w:r>
            <w:r>
              <w:rPr>
                <w:rFonts w:hint="eastAsia" w:ascii="宋体" w:hAnsi="宋体" w:cs="宋体"/>
                <w:sz w:val="20"/>
                <w:szCs w:val="20"/>
              </w:rPr>
              <w:t>精神</w:t>
            </w:r>
            <w:r>
              <w:rPr>
                <w:rFonts w:hint="eastAsia" w:ascii="宋体" w:hAnsi="宋体" w:cs="宋体"/>
                <w:sz w:val="20"/>
                <w:szCs w:val="20"/>
                <w:lang w:val="en-US" w:eastAsia="zh-CN"/>
              </w:rPr>
              <w:t>病与精神卫生</w:t>
            </w:r>
            <w:r>
              <w:rPr>
                <w:rFonts w:hint="eastAsia" w:ascii="宋体" w:hAnsi="宋体" w:cs="宋体"/>
                <w:sz w:val="20"/>
                <w:szCs w:val="20"/>
              </w:rPr>
              <w:t>学</w:t>
            </w:r>
            <w:r>
              <w:rPr>
                <w:rFonts w:hint="eastAsia" w:ascii="宋体" w:hAnsi="宋体" w:cs="宋体"/>
                <w:sz w:val="20"/>
                <w:szCs w:val="20"/>
                <w:lang w:eastAsia="zh-CN"/>
              </w:rPr>
              <w:t>、</w:t>
            </w:r>
            <w:r>
              <w:rPr>
                <w:rFonts w:hint="eastAsia" w:ascii="宋体" w:hAnsi="宋体" w:cs="宋体"/>
                <w:sz w:val="20"/>
                <w:szCs w:val="20"/>
              </w:rPr>
              <w:t>应用心理学（具有</w:t>
            </w:r>
            <w:r>
              <w:rPr>
                <w:rFonts w:hint="eastAsia" w:ascii="宋体" w:hAnsi="宋体" w:cs="宋体"/>
                <w:sz w:val="20"/>
                <w:szCs w:val="20"/>
                <w:lang w:val="en-US" w:eastAsia="zh-CN"/>
              </w:rPr>
              <w:t>临床</w:t>
            </w:r>
            <w:r>
              <w:rPr>
                <w:rFonts w:hint="eastAsia" w:ascii="宋体" w:hAnsi="宋体" w:cs="宋体"/>
                <w:sz w:val="20"/>
                <w:szCs w:val="20"/>
              </w:rPr>
              <w:t>医学背景</w:t>
            </w:r>
            <w:r>
              <w:rPr>
                <w:rFonts w:hint="eastAsia" w:ascii="宋体" w:hAnsi="宋体" w:cs="宋体"/>
                <w:sz w:val="20"/>
                <w:szCs w:val="20"/>
                <w:lang w:eastAsia="zh-CN"/>
              </w:rPr>
              <w:t>）</w:t>
            </w:r>
          </w:p>
        </w:tc>
        <w:tc>
          <w:tcPr>
            <w:tcW w:w="1634" w:type="dxa"/>
            <w:vMerge w:val="continue"/>
          </w:tcPr>
          <w:p>
            <w:pPr>
              <w:rPr>
                <w:rFonts w:ascii="宋体" w:cs="宋体"/>
                <w:sz w:val="20"/>
                <w:szCs w:val="20"/>
              </w:rPr>
            </w:pPr>
          </w:p>
        </w:tc>
      </w:tr>
      <w:tr>
        <w:tblPrEx>
          <w:tblLayout w:type="fixed"/>
        </w:tblPrEx>
        <w:trPr>
          <w:trHeight w:val="681" w:hRule="atLeast"/>
          <w:tblHeader/>
          <w:jc w:val="center"/>
        </w:trPr>
        <w:tc>
          <w:tcPr>
            <w:tcW w:w="621" w:type="dxa"/>
            <w:vAlign w:val="center"/>
          </w:tcPr>
          <w:p>
            <w:pPr>
              <w:jc w:val="center"/>
              <w:rPr>
                <w:rFonts w:hint="eastAsia" w:ascii="宋体" w:hAnsi="宋体" w:cs="宋体"/>
                <w:sz w:val="20"/>
                <w:szCs w:val="20"/>
                <w:lang w:val="en-US" w:eastAsia="zh-CN"/>
              </w:rPr>
            </w:pPr>
            <w:bookmarkStart w:id="0" w:name="_GoBack" w:colFirst="4" w:colLast="4"/>
            <w:r>
              <w:rPr>
                <w:rFonts w:hint="eastAsia" w:ascii="宋体" w:hAnsi="宋体" w:cs="宋体"/>
                <w:sz w:val="20"/>
                <w:szCs w:val="20"/>
                <w:lang w:val="en-US" w:eastAsia="zh-CN"/>
              </w:rPr>
              <w:t>4</w:t>
            </w:r>
          </w:p>
        </w:tc>
        <w:tc>
          <w:tcPr>
            <w:tcW w:w="1097" w:type="dxa"/>
            <w:vAlign w:val="center"/>
          </w:tcPr>
          <w:p>
            <w:pPr>
              <w:jc w:val="center"/>
              <w:rPr>
                <w:rFonts w:hint="eastAsia" w:ascii="宋体" w:hAnsi="宋体" w:cs="宋体"/>
                <w:strike w:val="0"/>
                <w:dstrike w:val="0"/>
                <w:color w:val="auto"/>
                <w:sz w:val="20"/>
                <w:szCs w:val="20"/>
              </w:rPr>
            </w:pPr>
            <w:r>
              <w:rPr>
                <w:rFonts w:hint="eastAsia" w:ascii="宋体" w:hAnsi="宋体" w:cs="宋体"/>
                <w:strike w:val="0"/>
                <w:dstrike w:val="0"/>
                <w:color w:val="auto"/>
                <w:sz w:val="20"/>
                <w:szCs w:val="20"/>
              </w:rPr>
              <w:t>普内科医师</w:t>
            </w:r>
            <w:r>
              <w:rPr>
                <w:rFonts w:hint="eastAsia" w:ascii="宋体" w:hAnsi="宋体" w:cs="宋体"/>
                <w:strike w:val="0"/>
                <w:dstrike w:val="0"/>
                <w:color w:val="auto"/>
                <w:sz w:val="20"/>
                <w:szCs w:val="20"/>
                <w:lang w:val="en-US" w:eastAsia="zh-CN"/>
              </w:rPr>
              <w:t>2</w:t>
            </w:r>
          </w:p>
        </w:tc>
        <w:tc>
          <w:tcPr>
            <w:tcW w:w="1037" w:type="dxa"/>
            <w:vMerge w:val="restart"/>
            <w:vAlign w:val="center"/>
          </w:tcPr>
          <w:p>
            <w:pPr>
              <w:jc w:val="center"/>
              <w:rPr>
                <w:rFonts w:ascii="宋体" w:cs="宋体"/>
                <w:sz w:val="20"/>
                <w:szCs w:val="20"/>
              </w:rPr>
            </w:pPr>
            <w:r>
              <w:rPr>
                <w:rFonts w:hint="eastAsia" w:ascii="宋体" w:cs="宋体"/>
                <w:sz w:val="20"/>
                <w:szCs w:val="20"/>
              </w:rPr>
              <w:t>专业技术</w:t>
            </w:r>
            <w:r>
              <w:rPr>
                <w:rFonts w:hint="eastAsia" w:ascii="宋体" w:cs="宋体"/>
                <w:sz w:val="20"/>
                <w:szCs w:val="20"/>
                <w:lang w:val="en-US" w:eastAsia="zh-CN"/>
              </w:rPr>
              <w:t>岗位，</w:t>
            </w:r>
            <w:r>
              <w:rPr>
                <w:rFonts w:hint="eastAsia" w:ascii="宋体" w:cs="宋体"/>
                <w:sz w:val="20"/>
                <w:szCs w:val="20"/>
              </w:rPr>
              <w:t>初级职称：十一级及以下；中级职称：十级及以上；高级职称：七级及以上</w:t>
            </w:r>
          </w:p>
        </w:tc>
        <w:tc>
          <w:tcPr>
            <w:tcW w:w="571" w:type="dxa"/>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t>2</w:t>
            </w:r>
          </w:p>
        </w:tc>
        <w:tc>
          <w:tcPr>
            <w:tcW w:w="2161" w:type="dxa"/>
            <w:vMerge w:val="restart"/>
            <w:vAlign w:val="center"/>
          </w:tcPr>
          <w:p>
            <w:pPr>
              <w:numPr>
                <w:numId w:val="0"/>
              </w:numPr>
              <w:rPr>
                <w:rFonts w:hint="eastAsia" w:ascii="宋体" w:cs="宋体"/>
                <w:sz w:val="20"/>
                <w:szCs w:val="20"/>
                <w:lang w:val="en-US" w:eastAsia="zh-CN"/>
              </w:rPr>
            </w:pPr>
            <w:r>
              <w:rPr>
                <w:rFonts w:hint="eastAsia" w:ascii="宋体" w:cs="宋体"/>
                <w:sz w:val="20"/>
                <w:szCs w:val="20"/>
                <w:lang w:val="en-US" w:eastAsia="zh-CN"/>
              </w:rPr>
              <w:t>本科学历、副高级及以上职称；或硕士研究生及以上学历学位，医师及以上职称</w:t>
            </w:r>
          </w:p>
        </w:tc>
        <w:tc>
          <w:tcPr>
            <w:tcW w:w="2278" w:type="dxa"/>
            <w:vAlign w:val="center"/>
          </w:tcPr>
          <w:p>
            <w:pPr>
              <w:rPr>
                <w:rFonts w:hint="eastAsia" w:ascii="宋体" w:hAnsi="宋体" w:cs="宋体"/>
                <w:sz w:val="20"/>
                <w:szCs w:val="20"/>
              </w:rPr>
            </w:pPr>
            <w:r>
              <w:rPr>
                <w:rFonts w:hint="eastAsia" w:ascii="宋体" w:hAnsi="宋体" w:cs="宋体"/>
                <w:sz w:val="20"/>
                <w:szCs w:val="20"/>
              </w:rPr>
              <w:t>临床医学、内科学、消化内科学、心血管内科学、呼吸内科学、神经病学、内分泌学、肾病学</w:t>
            </w:r>
            <w:r>
              <w:rPr>
                <w:rFonts w:hint="eastAsia" w:ascii="宋体" w:hAnsi="宋体" w:cs="宋体"/>
                <w:sz w:val="20"/>
                <w:szCs w:val="20"/>
                <w:lang w:eastAsia="zh-CN"/>
              </w:rPr>
              <w:t>、</w:t>
            </w:r>
            <w:r>
              <w:rPr>
                <w:rFonts w:hint="eastAsia" w:ascii="宋体" w:hAnsi="宋体" w:cs="宋体"/>
                <w:sz w:val="20"/>
                <w:szCs w:val="20"/>
                <w:lang w:val="en-US" w:eastAsia="zh-CN"/>
              </w:rPr>
              <w:t>老年医学</w:t>
            </w:r>
          </w:p>
        </w:tc>
        <w:tc>
          <w:tcPr>
            <w:tcW w:w="1634" w:type="dxa"/>
            <w:vMerge w:val="restart"/>
            <w:vAlign w:val="center"/>
          </w:tcPr>
          <w:p>
            <w:pPr>
              <w:numPr>
                <w:ilvl w:val="0"/>
                <w:numId w:val="2"/>
              </w:numPr>
              <w:jc w:val="both"/>
              <w:rPr>
                <w:rFonts w:ascii="宋体" w:cs="宋体"/>
                <w:sz w:val="20"/>
                <w:szCs w:val="20"/>
              </w:rPr>
            </w:pPr>
            <w:r>
              <w:rPr>
                <w:rFonts w:hint="eastAsia" w:ascii="宋体" w:hAnsi="宋体" w:cs="宋体"/>
                <w:sz w:val="20"/>
                <w:szCs w:val="20"/>
              </w:rPr>
              <w:t>需有</w:t>
            </w:r>
            <w:r>
              <w:rPr>
                <w:rFonts w:hint="eastAsia" w:ascii="宋体" w:hAnsi="宋体" w:cs="宋体"/>
                <w:sz w:val="20"/>
                <w:szCs w:val="20"/>
                <w:lang w:val="en-US" w:eastAsia="zh-CN"/>
              </w:rPr>
              <w:t>二</w:t>
            </w:r>
            <w:r>
              <w:rPr>
                <w:rFonts w:hint="eastAsia" w:ascii="宋体" w:hAnsi="宋体" w:cs="宋体"/>
                <w:sz w:val="20"/>
                <w:szCs w:val="20"/>
              </w:rPr>
              <w:t>级</w:t>
            </w:r>
            <w:r>
              <w:rPr>
                <w:rFonts w:hint="eastAsia" w:ascii="宋体" w:hAnsi="宋体" w:cs="宋体"/>
                <w:sz w:val="20"/>
                <w:szCs w:val="20"/>
                <w:lang w:val="en-US" w:eastAsia="zh-CN"/>
              </w:rPr>
              <w:t>及以上</w:t>
            </w:r>
            <w:r>
              <w:rPr>
                <w:rFonts w:hint="eastAsia" w:ascii="宋体" w:hAnsi="宋体" w:cs="宋体"/>
                <w:sz w:val="20"/>
                <w:szCs w:val="20"/>
              </w:rPr>
              <w:t>医院至今</w:t>
            </w:r>
            <w:r>
              <w:rPr>
                <w:rFonts w:ascii="宋体" w:hAnsi="宋体" w:cs="宋体"/>
                <w:sz w:val="20"/>
                <w:szCs w:val="20"/>
              </w:rPr>
              <w:t>2</w:t>
            </w:r>
            <w:r>
              <w:rPr>
                <w:rFonts w:hint="eastAsia" w:ascii="宋体" w:hAnsi="宋体" w:cs="宋体"/>
                <w:sz w:val="20"/>
                <w:szCs w:val="20"/>
              </w:rPr>
              <w:t>年及以上本专业工作经历</w:t>
            </w:r>
            <w:r>
              <w:rPr>
                <w:rFonts w:hint="eastAsia" w:ascii="宋体" w:hAnsi="宋体" w:cs="宋体"/>
                <w:color w:val="000000"/>
                <w:kern w:val="0"/>
                <w:sz w:val="20"/>
                <w:szCs w:val="20"/>
              </w:rPr>
              <w:t>；</w:t>
            </w:r>
          </w:p>
          <w:p>
            <w:pPr>
              <w:numPr>
                <w:ilvl w:val="0"/>
                <w:numId w:val="2"/>
              </w:numPr>
              <w:jc w:val="both"/>
              <w:rPr>
                <w:rFonts w:ascii="宋体" w:cs="宋体"/>
                <w:sz w:val="20"/>
                <w:szCs w:val="20"/>
              </w:rPr>
            </w:pPr>
            <w:r>
              <w:rPr>
                <w:rFonts w:hint="eastAsia" w:ascii="宋体" w:hAnsi="宋体" w:cs="宋体"/>
                <w:color w:val="000000"/>
                <w:kern w:val="0"/>
                <w:sz w:val="20"/>
                <w:szCs w:val="20"/>
              </w:rPr>
              <w:t>中级以下职称者需完成住院医师规范化培训</w:t>
            </w:r>
          </w:p>
        </w:tc>
      </w:tr>
      <w:bookmarkEnd w:id="0"/>
      <w:tr>
        <w:trPr>
          <w:trHeight w:val="843" w:hRule="atLeast"/>
          <w:tblHeader/>
          <w:jc w:val="center"/>
        </w:trPr>
        <w:tc>
          <w:tcPr>
            <w:tcW w:w="621" w:type="dxa"/>
            <w:vAlign w:val="center"/>
          </w:tcPr>
          <w:p>
            <w:pPr>
              <w:jc w:val="center"/>
              <w:rPr>
                <w:rFonts w:hint="eastAsia" w:ascii="宋体" w:eastAsia="宋体" w:cs="宋体"/>
                <w:sz w:val="20"/>
                <w:szCs w:val="20"/>
                <w:lang w:val="en-US" w:eastAsia="zh-CN"/>
              </w:rPr>
            </w:pPr>
            <w:r>
              <w:rPr>
                <w:rFonts w:hint="eastAsia" w:ascii="宋体" w:cs="宋体"/>
                <w:sz w:val="20"/>
                <w:szCs w:val="20"/>
                <w:lang w:val="en-US" w:eastAsia="zh-CN"/>
              </w:rPr>
              <w:t>5</w:t>
            </w:r>
          </w:p>
        </w:tc>
        <w:tc>
          <w:tcPr>
            <w:tcW w:w="1097" w:type="dxa"/>
            <w:vAlign w:val="center"/>
          </w:tcPr>
          <w:p>
            <w:pPr>
              <w:jc w:val="center"/>
              <w:rPr>
                <w:rFonts w:hint="eastAsia" w:ascii="宋体" w:eastAsia="宋体" w:cs="宋体"/>
                <w:dstrike w:val="0"/>
                <w:color w:val="auto"/>
                <w:sz w:val="20"/>
                <w:szCs w:val="20"/>
                <w:lang w:eastAsia="zh-CN"/>
              </w:rPr>
            </w:pPr>
            <w:r>
              <w:rPr>
                <w:rFonts w:hint="eastAsia" w:ascii="宋体" w:hAnsi="宋体" w:cs="宋体"/>
                <w:dstrike w:val="0"/>
                <w:color w:val="auto"/>
                <w:sz w:val="20"/>
                <w:szCs w:val="20"/>
                <w:lang w:val="en-US" w:eastAsia="zh-CN"/>
              </w:rPr>
              <w:t>普外科医师</w:t>
            </w:r>
          </w:p>
        </w:tc>
        <w:tc>
          <w:tcPr>
            <w:tcW w:w="1037" w:type="dxa"/>
            <w:vMerge w:val="continue"/>
            <w:vAlign w:val="center"/>
          </w:tcPr>
          <w:p>
            <w:pPr>
              <w:jc w:val="center"/>
              <w:rPr>
                <w:rFonts w:ascii="宋体" w:cs="宋体"/>
                <w:sz w:val="20"/>
                <w:szCs w:val="20"/>
              </w:rPr>
            </w:pPr>
          </w:p>
        </w:tc>
        <w:tc>
          <w:tcPr>
            <w:tcW w:w="571" w:type="dxa"/>
            <w:vAlign w:val="center"/>
          </w:tcPr>
          <w:p>
            <w:pPr>
              <w:jc w:val="center"/>
              <w:rPr>
                <w:rFonts w:ascii="宋体" w:cs="宋体"/>
                <w:szCs w:val="21"/>
              </w:rPr>
            </w:pPr>
            <w:r>
              <w:rPr>
                <w:rFonts w:ascii="宋体" w:hAnsi="宋体" w:cs="宋体"/>
                <w:szCs w:val="21"/>
              </w:rPr>
              <w:t>1</w:t>
            </w:r>
          </w:p>
        </w:tc>
        <w:tc>
          <w:tcPr>
            <w:tcW w:w="2161" w:type="dxa"/>
            <w:vMerge w:val="continue"/>
            <w:vAlign w:val="center"/>
          </w:tcPr>
          <w:p>
            <w:pPr>
              <w:rPr>
                <w:rFonts w:ascii="宋体" w:cs="宋体"/>
                <w:sz w:val="20"/>
                <w:szCs w:val="20"/>
              </w:rPr>
            </w:pPr>
          </w:p>
        </w:tc>
        <w:tc>
          <w:tcPr>
            <w:tcW w:w="2278" w:type="dxa"/>
            <w:vAlign w:val="center"/>
          </w:tcPr>
          <w:p>
            <w:pPr>
              <w:rPr>
                <w:rFonts w:ascii="宋体" w:cs="宋体"/>
                <w:sz w:val="20"/>
                <w:szCs w:val="20"/>
              </w:rPr>
            </w:pPr>
            <w:r>
              <w:rPr>
                <w:rFonts w:hint="eastAsia" w:ascii="宋体" w:hAnsi="宋体" w:cs="宋体"/>
                <w:sz w:val="20"/>
                <w:szCs w:val="20"/>
              </w:rPr>
              <w:t>临床医学、外科学、中西医结合、中医外科学</w:t>
            </w:r>
          </w:p>
        </w:tc>
        <w:tc>
          <w:tcPr>
            <w:tcW w:w="1634" w:type="dxa"/>
            <w:vMerge w:val="continue"/>
          </w:tcPr>
          <w:p>
            <w:pPr>
              <w:rPr>
                <w:rFonts w:ascii="宋体" w:cs="宋体"/>
                <w:sz w:val="20"/>
                <w:szCs w:val="20"/>
              </w:rPr>
            </w:pPr>
          </w:p>
        </w:tc>
      </w:tr>
      <w:tr>
        <w:trPr>
          <w:trHeight w:val="681" w:hRule="atLeast"/>
          <w:tblHeader/>
          <w:jc w:val="center"/>
        </w:trPr>
        <w:tc>
          <w:tcPr>
            <w:tcW w:w="62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6</w:t>
            </w:r>
          </w:p>
        </w:tc>
        <w:tc>
          <w:tcPr>
            <w:tcW w:w="1097" w:type="dxa"/>
            <w:vAlign w:val="center"/>
          </w:tcPr>
          <w:p>
            <w:pPr>
              <w:jc w:val="center"/>
              <w:rPr>
                <w:rFonts w:ascii="宋体" w:cs="宋体"/>
                <w:dstrike w:val="0"/>
                <w:color w:val="auto"/>
                <w:sz w:val="20"/>
                <w:szCs w:val="20"/>
              </w:rPr>
            </w:pPr>
            <w:r>
              <w:rPr>
                <w:rFonts w:hint="eastAsia" w:ascii="宋体" w:hAnsi="宋体" w:cs="宋体"/>
                <w:strike w:val="0"/>
                <w:dstrike w:val="0"/>
                <w:color w:val="auto"/>
                <w:sz w:val="20"/>
                <w:szCs w:val="20"/>
              </w:rPr>
              <w:t>重</w:t>
            </w:r>
            <w:r>
              <w:rPr>
                <w:rFonts w:hint="eastAsia" w:ascii="宋体" w:hAnsi="宋体" w:cs="宋体"/>
                <w:strike w:val="0"/>
                <w:dstrike w:val="0"/>
                <w:color w:val="auto"/>
                <w:sz w:val="20"/>
                <w:szCs w:val="20"/>
                <w:lang w:val="en-US" w:eastAsia="zh-CN"/>
              </w:rPr>
              <w:t>症</w:t>
            </w:r>
            <w:r>
              <w:rPr>
                <w:rFonts w:hint="eastAsia" w:ascii="宋体" w:hAnsi="宋体" w:cs="宋体"/>
                <w:strike w:val="0"/>
                <w:dstrike w:val="0"/>
                <w:color w:val="auto"/>
                <w:sz w:val="20"/>
                <w:szCs w:val="20"/>
              </w:rPr>
              <w:t>医学科医师</w:t>
            </w:r>
            <w:r>
              <w:rPr>
                <w:rFonts w:hint="eastAsia" w:ascii="宋体" w:hAnsi="宋体" w:cs="宋体"/>
                <w:strike w:val="0"/>
                <w:dstrike w:val="0"/>
                <w:color w:val="auto"/>
                <w:sz w:val="20"/>
                <w:szCs w:val="20"/>
                <w:lang w:val="en-US" w:eastAsia="zh-CN"/>
              </w:rPr>
              <w:t>2</w:t>
            </w:r>
          </w:p>
        </w:tc>
        <w:tc>
          <w:tcPr>
            <w:tcW w:w="1037" w:type="dxa"/>
            <w:vMerge w:val="continue"/>
            <w:vAlign w:val="center"/>
          </w:tcPr>
          <w:p>
            <w:pPr>
              <w:jc w:val="center"/>
              <w:rPr>
                <w:rFonts w:ascii="宋体" w:cs="宋体"/>
                <w:sz w:val="20"/>
                <w:szCs w:val="20"/>
              </w:rPr>
            </w:pPr>
          </w:p>
        </w:tc>
        <w:tc>
          <w:tcPr>
            <w:tcW w:w="57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1</w:t>
            </w:r>
          </w:p>
        </w:tc>
        <w:tc>
          <w:tcPr>
            <w:tcW w:w="2161" w:type="dxa"/>
            <w:vMerge w:val="restart"/>
            <w:vAlign w:val="center"/>
          </w:tcPr>
          <w:p>
            <w:pPr>
              <w:rPr>
                <w:rFonts w:ascii="宋体" w:cs="宋体"/>
                <w:sz w:val="20"/>
                <w:szCs w:val="20"/>
              </w:rPr>
            </w:pPr>
            <w:r>
              <w:rPr>
                <w:rFonts w:hint="eastAsia" w:ascii="宋体" w:hAnsi="宋体" w:cs="宋体"/>
                <w:sz w:val="20"/>
                <w:szCs w:val="20"/>
              </w:rPr>
              <w:t>本科及以上学历，医师及以上职称</w:t>
            </w:r>
          </w:p>
        </w:tc>
        <w:tc>
          <w:tcPr>
            <w:tcW w:w="2278" w:type="dxa"/>
            <w:vAlign w:val="center"/>
          </w:tcPr>
          <w:p>
            <w:pPr>
              <w:rPr>
                <w:rFonts w:ascii="宋体" w:cs="宋体"/>
                <w:sz w:val="20"/>
                <w:szCs w:val="20"/>
              </w:rPr>
            </w:pPr>
            <w:r>
              <w:rPr>
                <w:rFonts w:hint="eastAsia" w:ascii="宋体" w:hAnsi="宋体" w:cs="宋体"/>
                <w:sz w:val="20"/>
                <w:szCs w:val="20"/>
              </w:rPr>
              <w:t>临床医学、内科学、外科学、重症医学</w:t>
            </w:r>
            <w:r>
              <w:rPr>
                <w:rFonts w:hint="eastAsia" w:ascii="宋体" w:hAnsi="宋体" w:cs="宋体"/>
                <w:sz w:val="20"/>
                <w:szCs w:val="20"/>
                <w:lang w:eastAsia="zh-CN"/>
              </w:rPr>
              <w:t>、</w:t>
            </w:r>
            <w:r>
              <w:rPr>
                <w:rFonts w:hint="eastAsia" w:ascii="宋体" w:hAnsi="宋体" w:cs="宋体"/>
                <w:sz w:val="20"/>
                <w:szCs w:val="20"/>
                <w:lang w:val="en-US" w:eastAsia="zh-CN"/>
              </w:rPr>
              <w:t>急诊医学</w:t>
            </w:r>
          </w:p>
        </w:tc>
        <w:tc>
          <w:tcPr>
            <w:tcW w:w="1634" w:type="dxa"/>
            <w:vMerge w:val="continue"/>
          </w:tcPr>
          <w:p>
            <w:pPr>
              <w:rPr>
                <w:rFonts w:ascii="宋体" w:cs="宋体"/>
                <w:sz w:val="20"/>
                <w:szCs w:val="20"/>
              </w:rPr>
            </w:pPr>
          </w:p>
        </w:tc>
      </w:tr>
      <w:tr>
        <w:trPr>
          <w:trHeight w:val="1007" w:hRule="atLeast"/>
          <w:tblHeader/>
          <w:jc w:val="center"/>
        </w:trPr>
        <w:tc>
          <w:tcPr>
            <w:tcW w:w="621" w:type="dxa"/>
            <w:vAlign w:val="center"/>
          </w:tcPr>
          <w:p>
            <w:pPr>
              <w:jc w:val="center"/>
              <w:rPr>
                <w:rFonts w:hint="eastAsia" w:ascii="宋体" w:eastAsia="宋体" w:cs="宋体"/>
                <w:sz w:val="20"/>
                <w:szCs w:val="20"/>
                <w:lang w:eastAsia="zh-CN"/>
              </w:rPr>
            </w:pPr>
            <w:r>
              <w:rPr>
                <w:rFonts w:hint="eastAsia" w:ascii="宋体" w:hAnsi="宋体" w:cs="宋体"/>
                <w:sz w:val="20"/>
                <w:szCs w:val="20"/>
                <w:lang w:val="en-US" w:eastAsia="zh-CN"/>
              </w:rPr>
              <w:t>7</w:t>
            </w:r>
          </w:p>
        </w:tc>
        <w:tc>
          <w:tcPr>
            <w:tcW w:w="1097" w:type="dxa"/>
            <w:vAlign w:val="center"/>
          </w:tcPr>
          <w:p>
            <w:pPr>
              <w:jc w:val="center"/>
              <w:rPr>
                <w:rFonts w:ascii="宋体" w:cs="宋体"/>
                <w:dstrike w:val="0"/>
                <w:color w:val="auto"/>
                <w:sz w:val="20"/>
                <w:szCs w:val="20"/>
              </w:rPr>
            </w:pPr>
            <w:r>
              <w:rPr>
                <w:rFonts w:hint="eastAsia" w:ascii="宋体" w:hAnsi="宋体" w:cs="宋体"/>
                <w:strike w:val="0"/>
                <w:dstrike w:val="0"/>
                <w:color w:val="auto"/>
                <w:sz w:val="20"/>
                <w:szCs w:val="20"/>
              </w:rPr>
              <w:t>放射科医师</w:t>
            </w:r>
          </w:p>
        </w:tc>
        <w:tc>
          <w:tcPr>
            <w:tcW w:w="1037" w:type="dxa"/>
            <w:vMerge w:val="continue"/>
            <w:vAlign w:val="center"/>
          </w:tcPr>
          <w:p>
            <w:pPr>
              <w:jc w:val="center"/>
              <w:rPr>
                <w:rFonts w:ascii="宋体" w:cs="宋体"/>
                <w:sz w:val="20"/>
                <w:szCs w:val="20"/>
              </w:rPr>
            </w:pPr>
          </w:p>
        </w:tc>
        <w:tc>
          <w:tcPr>
            <w:tcW w:w="571" w:type="dxa"/>
            <w:vAlign w:val="center"/>
          </w:tcPr>
          <w:p>
            <w:pPr>
              <w:jc w:val="center"/>
              <w:rPr>
                <w:rFonts w:ascii="宋体" w:cs="宋体"/>
                <w:szCs w:val="21"/>
              </w:rPr>
            </w:pPr>
            <w:r>
              <w:rPr>
                <w:rFonts w:ascii="宋体" w:hAnsi="宋体" w:cs="宋体"/>
                <w:szCs w:val="21"/>
              </w:rPr>
              <w:t>1</w:t>
            </w:r>
          </w:p>
        </w:tc>
        <w:tc>
          <w:tcPr>
            <w:tcW w:w="2161" w:type="dxa"/>
            <w:vMerge w:val="continue"/>
            <w:vAlign w:val="center"/>
          </w:tcPr>
          <w:p>
            <w:pPr>
              <w:rPr>
                <w:rFonts w:ascii="宋体" w:cs="宋体"/>
                <w:sz w:val="20"/>
                <w:szCs w:val="20"/>
              </w:rPr>
            </w:pPr>
          </w:p>
        </w:tc>
        <w:tc>
          <w:tcPr>
            <w:tcW w:w="2278" w:type="dxa"/>
            <w:vAlign w:val="center"/>
          </w:tcPr>
          <w:p>
            <w:pPr>
              <w:rPr>
                <w:rFonts w:ascii="宋体" w:cs="宋体"/>
                <w:sz w:val="20"/>
                <w:szCs w:val="20"/>
              </w:rPr>
            </w:pPr>
            <w:r>
              <w:rPr>
                <w:rFonts w:hint="eastAsia" w:ascii="宋体" w:hAnsi="宋体" w:cs="宋体"/>
                <w:sz w:val="20"/>
                <w:szCs w:val="20"/>
              </w:rPr>
              <w:t>临床医学、放射医学、医学影像学、影像医学与核医学</w:t>
            </w:r>
          </w:p>
        </w:tc>
        <w:tc>
          <w:tcPr>
            <w:tcW w:w="1634" w:type="dxa"/>
            <w:vMerge w:val="continue"/>
            <w:vAlign w:val="center"/>
          </w:tcPr>
          <w:p>
            <w:pPr>
              <w:numPr>
                <w:ilvl w:val="0"/>
                <w:numId w:val="0"/>
              </w:numPr>
              <w:ind w:leftChars="0"/>
              <w:jc w:val="both"/>
              <w:rPr>
                <w:rFonts w:ascii="宋体" w:cs="宋体"/>
                <w:sz w:val="20"/>
                <w:szCs w:val="20"/>
              </w:rPr>
            </w:pPr>
          </w:p>
        </w:tc>
      </w:tr>
    </w:tbl>
    <w:p>
      <w:pPr>
        <w:snapToGrid w:val="0"/>
        <w:spacing w:line="360" w:lineRule="auto"/>
        <w:ind w:firstLine="31680" w:firstLineChars="200"/>
        <w:rPr>
          <w:sz w:val="24"/>
          <w:szCs w:val="24"/>
        </w:rPr>
      </w:pPr>
      <w:r>
        <w:rPr>
          <w:rFonts w:hint="eastAsia"/>
          <w:sz w:val="24"/>
          <w:szCs w:val="24"/>
        </w:rPr>
        <w:t>注：工作经历以劳动（聘用）合同和社保记录为准，有关工作时间的计算截止日期为</w:t>
      </w:r>
      <w:r>
        <w:rPr>
          <w:sz w:val="24"/>
          <w:szCs w:val="24"/>
        </w:rPr>
        <w:t>2017</w:t>
      </w:r>
      <w:r>
        <w:rPr>
          <w:rFonts w:hint="eastAsia"/>
          <w:sz w:val="24"/>
          <w:szCs w:val="24"/>
        </w:rPr>
        <w:t>年</w:t>
      </w:r>
      <w:r>
        <w:rPr>
          <w:rFonts w:hint="eastAsia"/>
          <w:sz w:val="24"/>
          <w:szCs w:val="24"/>
          <w:lang w:val="en-US" w:eastAsia="zh-CN"/>
        </w:rPr>
        <w:t>12</w:t>
      </w:r>
      <w:r>
        <w:rPr>
          <w:rFonts w:hint="eastAsia"/>
          <w:sz w:val="24"/>
          <w:szCs w:val="24"/>
        </w:rPr>
        <w:t>月</w:t>
      </w:r>
      <w:r>
        <w:rPr>
          <w:sz w:val="24"/>
          <w:szCs w:val="24"/>
        </w:rPr>
        <w:t>3</w:t>
      </w:r>
      <w:r>
        <w:rPr>
          <w:rFonts w:hint="eastAsia"/>
          <w:sz w:val="24"/>
          <w:szCs w:val="24"/>
          <w:lang w:val="en-US" w:eastAsia="zh-CN"/>
        </w:rPr>
        <w:t>1</w:t>
      </w:r>
      <w:r>
        <w:rPr>
          <w:rFonts w:hint="eastAsia"/>
          <w:sz w:val="24"/>
          <w:szCs w:val="24"/>
        </w:rPr>
        <w:t>日。</w:t>
      </w:r>
      <w:r>
        <w:rPr>
          <w:sz w:val="24"/>
          <w:szCs w:val="24"/>
        </w:rPr>
        <w:t xml:space="preserve"> </w:t>
      </w:r>
    </w:p>
    <w:p>
      <w:pPr>
        <w:snapToGrid w:val="0"/>
        <w:spacing w:line="360" w:lineRule="auto"/>
        <w:ind w:firstLine="31680" w:firstLineChars="200"/>
        <w:rPr>
          <w:b/>
          <w:bCs/>
          <w:sz w:val="24"/>
          <w:szCs w:val="24"/>
        </w:rPr>
      </w:pPr>
      <w:r>
        <w:rPr>
          <w:rFonts w:hint="eastAsia"/>
          <w:b/>
          <w:bCs/>
          <w:sz w:val="24"/>
          <w:szCs w:val="24"/>
        </w:rPr>
        <w:t>二、联系方式</w:t>
      </w:r>
    </w:p>
    <w:p>
      <w:pPr>
        <w:snapToGrid w:val="0"/>
        <w:spacing w:line="360" w:lineRule="auto"/>
        <w:ind w:firstLine="31680" w:firstLineChars="200"/>
        <w:rPr>
          <w:rFonts w:cs="Times New Roman"/>
          <w:sz w:val="24"/>
          <w:szCs w:val="24"/>
        </w:rPr>
      </w:pPr>
      <w:r>
        <w:rPr>
          <w:rFonts w:hint="eastAsia" w:cs="宋体"/>
          <w:sz w:val="24"/>
          <w:szCs w:val="24"/>
        </w:rPr>
        <w:t>现场报名：应聘者将报名材料原件和复印件交至人事科进行报名；</w:t>
      </w:r>
    </w:p>
    <w:p>
      <w:pPr>
        <w:snapToGrid w:val="0"/>
        <w:spacing w:line="360" w:lineRule="auto"/>
        <w:ind w:firstLine="31680" w:firstLineChars="200"/>
        <w:rPr>
          <w:rFonts w:cs="Times New Roman"/>
          <w:sz w:val="24"/>
          <w:szCs w:val="24"/>
          <w:highlight w:val="yellow"/>
        </w:rPr>
      </w:pPr>
      <w:r>
        <w:rPr>
          <w:rFonts w:hint="eastAsia" w:cs="宋体"/>
          <w:sz w:val="24"/>
          <w:szCs w:val="24"/>
          <w:highlight w:val="none"/>
        </w:rPr>
        <w:t>电子邮箱：应聘者将报名材料扫描件或电子稿发至</w:t>
      </w:r>
      <w:r>
        <w:rPr>
          <w:rFonts w:cs="宋体"/>
          <w:sz w:val="24"/>
          <w:szCs w:val="24"/>
          <w:highlight w:val="none"/>
        </w:rPr>
        <w:t>hzlnbyyrsk</w:t>
      </w:r>
      <w:r>
        <w:rPr>
          <w:highlight w:val="none"/>
        </w:rPr>
        <w:fldChar w:fldCharType="begin"/>
      </w:r>
      <w:r>
        <w:rPr>
          <w:highlight w:val="none"/>
        </w:rPr>
        <w:instrText xml:space="preserve"> HYPERLINK "mailto:hsdfsyy@163.com" </w:instrText>
      </w:r>
      <w:r>
        <w:rPr>
          <w:highlight w:val="none"/>
        </w:rPr>
        <w:fldChar w:fldCharType="separate"/>
      </w:r>
      <w:r>
        <w:rPr>
          <w:sz w:val="24"/>
          <w:szCs w:val="24"/>
          <w:highlight w:val="none"/>
        </w:rPr>
        <w:t>@163.com</w:t>
      </w:r>
      <w:r>
        <w:rPr>
          <w:sz w:val="24"/>
          <w:szCs w:val="24"/>
          <w:highlight w:val="none"/>
        </w:rPr>
        <w:fldChar w:fldCharType="end"/>
      </w:r>
      <w:r>
        <w:rPr>
          <w:rFonts w:hint="eastAsia" w:cs="宋体"/>
          <w:sz w:val="24"/>
          <w:szCs w:val="24"/>
          <w:highlight w:val="none"/>
        </w:rPr>
        <w:t>；</w:t>
      </w:r>
    </w:p>
    <w:p>
      <w:pPr>
        <w:snapToGrid w:val="0"/>
        <w:spacing w:line="360" w:lineRule="auto"/>
        <w:ind w:firstLine="31680" w:firstLineChars="200"/>
        <w:rPr>
          <w:rFonts w:cs="Times New Roman"/>
          <w:sz w:val="24"/>
          <w:szCs w:val="24"/>
        </w:rPr>
      </w:pPr>
      <w:r>
        <w:rPr>
          <w:rFonts w:hint="eastAsia" w:cs="宋体"/>
          <w:sz w:val="24"/>
          <w:szCs w:val="24"/>
        </w:rPr>
        <w:t>邮寄地址：应聘者将报名材料复印件邮寄至杭州市拱墅区沈半路</w:t>
      </w:r>
      <w:r>
        <w:rPr>
          <w:sz w:val="24"/>
          <w:szCs w:val="24"/>
        </w:rPr>
        <w:t>469</w:t>
      </w:r>
      <w:r>
        <w:rPr>
          <w:rFonts w:hint="eastAsia" w:cs="宋体"/>
          <w:sz w:val="24"/>
          <w:szCs w:val="24"/>
        </w:rPr>
        <w:t>号，杭州市老年病医院人事科，邮编：</w:t>
      </w:r>
      <w:r>
        <w:rPr>
          <w:sz w:val="24"/>
          <w:szCs w:val="24"/>
        </w:rPr>
        <w:t>310022</w:t>
      </w:r>
      <w:r>
        <w:rPr>
          <w:rFonts w:hint="eastAsia" w:cs="宋体"/>
          <w:sz w:val="24"/>
          <w:szCs w:val="24"/>
        </w:rPr>
        <w:t>（以邮戳或快递签收时间为准）；</w:t>
      </w:r>
    </w:p>
    <w:p>
      <w:pPr>
        <w:snapToGrid w:val="0"/>
        <w:spacing w:line="360" w:lineRule="auto"/>
        <w:ind w:firstLine="31680" w:firstLineChars="200"/>
        <w:rPr>
          <w:rFonts w:cs="Times New Roman"/>
          <w:sz w:val="24"/>
          <w:szCs w:val="24"/>
        </w:rPr>
      </w:pPr>
      <w:r>
        <w:rPr>
          <w:rFonts w:hint="eastAsia" w:cs="宋体"/>
          <w:sz w:val="24"/>
          <w:szCs w:val="24"/>
        </w:rPr>
        <w:t>信息查询：本招聘过程相关信息均在本院网站（</w:t>
      </w:r>
      <w:r>
        <w:fldChar w:fldCharType="begin"/>
      </w:r>
      <w:r>
        <w:instrText xml:space="preserve"> HYPERLINK "http://www.hz-hospital.com/" </w:instrText>
      </w:r>
      <w:r>
        <w:fldChar w:fldCharType="separate"/>
      </w:r>
      <w:r>
        <w:rPr>
          <w:sz w:val="24"/>
          <w:szCs w:val="24"/>
        </w:rPr>
        <w:t>www.hzlnbyy.com</w:t>
      </w:r>
      <w:r>
        <w:rPr>
          <w:sz w:val="24"/>
          <w:szCs w:val="24"/>
        </w:rPr>
        <w:fldChar w:fldCharType="end"/>
      </w:r>
      <w:r>
        <w:rPr>
          <w:rFonts w:hint="eastAsia" w:cs="宋体"/>
          <w:sz w:val="24"/>
          <w:szCs w:val="24"/>
        </w:rPr>
        <w:t>）“通知公告”栏目中公布，请应聘人员及时查询。</w:t>
      </w:r>
    </w:p>
    <w:p>
      <w:pPr>
        <w:snapToGrid w:val="0"/>
        <w:spacing w:line="360" w:lineRule="auto"/>
        <w:ind w:firstLine="31680" w:firstLineChars="200"/>
        <w:rPr>
          <w:rFonts w:cs="Times New Roman"/>
          <w:sz w:val="24"/>
          <w:szCs w:val="24"/>
        </w:rPr>
      </w:pPr>
      <w:r>
        <w:rPr>
          <w:rFonts w:hint="eastAsia" w:cs="宋体"/>
          <w:b/>
          <w:bCs/>
          <w:sz w:val="24"/>
          <w:szCs w:val="24"/>
        </w:rPr>
        <w:t>注</w:t>
      </w:r>
      <w:r>
        <w:rPr>
          <w:rFonts w:hint="eastAsia" w:cs="宋体"/>
          <w:sz w:val="24"/>
          <w:szCs w:val="24"/>
        </w:rPr>
        <w:t>：通过电子邮件或邮寄方式提交应聘材料的，请在工作日电话和本院人事科确认（联系电话：</w:t>
      </w:r>
      <w:r>
        <w:rPr>
          <w:rFonts w:cs="宋体"/>
          <w:sz w:val="24"/>
          <w:szCs w:val="24"/>
        </w:rPr>
        <w:t>0571-56077853</w:t>
      </w:r>
      <w:r>
        <w:rPr>
          <w:rFonts w:hint="eastAsia" w:cs="宋体"/>
          <w:sz w:val="24"/>
          <w:szCs w:val="24"/>
        </w:rPr>
        <w:t>），否则视作无效。通知参加考试时需带应聘材料原件备审核。</w:t>
      </w:r>
    </w:p>
    <w:p>
      <w:pPr>
        <w:snapToGrid w:val="0"/>
        <w:spacing w:line="360" w:lineRule="auto"/>
        <w:ind w:firstLine="31680" w:firstLineChars="200"/>
        <w:rPr>
          <w:rFonts w:cs="Times New Roman"/>
          <w:sz w:val="24"/>
          <w:szCs w:val="24"/>
        </w:rPr>
      </w:pPr>
      <w:r>
        <w:rPr>
          <w:rFonts w:hint="eastAsia" w:cs="宋体"/>
          <w:sz w:val="24"/>
          <w:szCs w:val="24"/>
        </w:rPr>
        <w:t>咨询电话：</w:t>
      </w:r>
      <w:r>
        <w:rPr>
          <w:sz w:val="24"/>
          <w:szCs w:val="24"/>
        </w:rPr>
        <w:t xml:space="preserve">0571-56077853         </w:t>
      </w:r>
      <w:r>
        <w:rPr>
          <w:rFonts w:hint="eastAsia" w:cs="宋体"/>
          <w:sz w:val="24"/>
          <w:szCs w:val="24"/>
        </w:rPr>
        <w:t>联系人：</w:t>
      </w:r>
      <w:r>
        <w:rPr>
          <w:rFonts w:hint="eastAsia" w:cs="宋体"/>
          <w:sz w:val="24"/>
          <w:szCs w:val="24"/>
          <w:lang w:val="en-US" w:eastAsia="zh-CN"/>
        </w:rPr>
        <w:t>洪</w:t>
      </w:r>
      <w:r>
        <w:rPr>
          <w:rFonts w:hint="eastAsia" w:cs="宋体"/>
          <w:sz w:val="24"/>
          <w:szCs w:val="24"/>
        </w:rPr>
        <w:t>老师</w:t>
      </w:r>
      <w:r>
        <w:rPr>
          <w:rFonts w:cs="Times New Roman"/>
          <w:sz w:val="24"/>
          <w:szCs w:val="24"/>
        </w:rPr>
        <w:t> </w:t>
      </w:r>
      <w:r>
        <w:rPr>
          <w:sz w:val="24"/>
          <w:szCs w:val="24"/>
        </w:rPr>
        <w:t xml:space="preserve"> </w:t>
      </w:r>
      <w:r>
        <w:rPr>
          <w:rFonts w:hint="eastAsia" w:cs="宋体"/>
          <w:sz w:val="24"/>
          <w:szCs w:val="24"/>
        </w:rPr>
        <w:t>朱老师</w:t>
      </w:r>
      <w:r>
        <w:rPr>
          <w:rFonts w:cs="Times New Roman"/>
          <w:sz w:val="24"/>
          <w:szCs w:val="24"/>
        </w:rPr>
        <w:t> </w:t>
      </w:r>
    </w:p>
    <w:p>
      <w:pPr>
        <w:wordWrap w:val="0"/>
        <w:snapToGrid w:val="0"/>
        <w:spacing w:line="360" w:lineRule="auto"/>
        <w:ind w:firstLine="31680" w:firstLineChars="200"/>
        <w:jc w:val="right"/>
        <w:rPr>
          <w:sz w:val="24"/>
          <w:szCs w:val="24"/>
        </w:rPr>
      </w:pPr>
      <w:r>
        <w:rPr>
          <w:sz w:val="24"/>
          <w:szCs w:val="24"/>
        </w:rPr>
        <w:t xml:space="preserve">       </w:t>
      </w:r>
    </w:p>
    <w:p>
      <w:pPr>
        <w:widowControl/>
        <w:shd w:val="clear" w:color="auto" w:fill="FFFFFF"/>
        <w:spacing w:line="375" w:lineRule="atLeast"/>
      </w:pPr>
    </w:p>
    <w:sectPr>
      <w:pgSz w:w="11906" w:h="16838"/>
      <w:pgMar w:top="1530" w:right="1467" w:bottom="828" w:left="139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78D721"/>
    <w:multiLevelType w:val="singleLevel"/>
    <w:tmpl w:val="5678D721"/>
    <w:lvl w:ilvl="0" w:tentative="0">
      <w:start w:val="1"/>
      <w:numFmt w:val="chineseCounting"/>
      <w:suff w:val="nothing"/>
      <w:lvlText w:val="%1、"/>
      <w:lvlJc w:val="left"/>
      <w:rPr>
        <w:rFonts w:cs="Times New Roman"/>
      </w:rPr>
    </w:lvl>
  </w:abstractNum>
  <w:abstractNum w:abstractNumId="1">
    <w:nsid w:val="56791D2E"/>
    <w:multiLevelType w:val="singleLevel"/>
    <w:tmpl w:val="56791D2E"/>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rPr>
  </w:style>
  <w:style w:type="character" w:styleId="5">
    <w:name w:val="page number"/>
    <w:basedOn w:val="4"/>
    <w:qFormat/>
    <w:uiPriority w:val="99"/>
    <w:rPr>
      <w:rFonts w:cs="Times New Roman"/>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alloon Text Char"/>
    <w:basedOn w:val="4"/>
    <w:link w:val="2"/>
    <w:semiHidden/>
    <w:qFormat/>
    <w:locked/>
    <w:uiPriority w:val="99"/>
    <w:rPr>
      <w:rFonts w:ascii="Calibri" w:hAnsi="Calibri" w:cs="黑体"/>
      <w:kern w:val="2"/>
      <w:sz w:val="18"/>
      <w:szCs w:val="18"/>
    </w:rPr>
  </w:style>
  <w:style w:type="character" w:customStyle="1" w:styleId="9">
    <w:name w:val="Footer Char"/>
    <w:basedOn w:val="4"/>
    <w:link w:val="3"/>
    <w:semiHidden/>
    <w:qFormat/>
    <w:uiPriority w:val="99"/>
    <w:rPr>
      <w:rFonts w:ascii="Calibri" w:hAnsi="Calibri" w:cs="黑体"/>
      <w:sz w:val="18"/>
      <w:szCs w:val="18"/>
    </w:rPr>
  </w:style>
  <w:style w:type="paragraph" w:customStyle="1" w:styleId="1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MS</Company>
  <Pages>2</Pages>
  <Words>185</Words>
  <Characters>1060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2015-01-12T10:17:00Z</dcterms:created>
  <dc:creator>daqingye</dc:creator>
  <cp:lastModifiedBy>“daqingye”的 iPhone</cp:lastModifiedBy>
  <cp:lastPrinted>2017-06-20T14:09:00Z</cp:lastPrinted>
  <dcterms:modified xsi:type="dcterms:W3CDTF">2017-06-30T10:25:11Z</dcterms:modified>
  <dc:title>杭州市老年病医院公开招聘高层次、紧缺专业人才公告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