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022" w:type="dxa"/>
        <w:tblLayout w:type="fixed"/>
        <w:tblCellMar>
          <w:left w:w="0" w:type="dxa"/>
          <w:right w:w="0" w:type="dxa"/>
        </w:tblCellMar>
        <w:tblLook w:val="04A0" w:firstRow="1" w:lastRow="0" w:firstColumn="1" w:lastColumn="0" w:noHBand="0" w:noVBand="1"/>
      </w:tblPr>
      <w:tblGrid>
        <w:gridCol w:w="430"/>
        <w:gridCol w:w="490"/>
        <w:gridCol w:w="516"/>
        <w:gridCol w:w="491"/>
        <w:gridCol w:w="515"/>
        <w:gridCol w:w="442"/>
        <w:gridCol w:w="491"/>
        <w:gridCol w:w="626"/>
        <w:gridCol w:w="3999"/>
        <w:gridCol w:w="1845"/>
        <w:gridCol w:w="3375"/>
        <w:gridCol w:w="802"/>
      </w:tblGrid>
      <w:tr w:rsidR="00A564DA">
        <w:trPr>
          <w:trHeight w:val="640"/>
        </w:trPr>
        <w:tc>
          <w:tcPr>
            <w:tcW w:w="14022" w:type="dxa"/>
            <w:gridSpan w:val="12"/>
            <w:tcBorders>
              <w:top w:val="nil"/>
              <w:left w:val="nil"/>
              <w:bottom w:val="nil"/>
              <w:right w:val="nil"/>
            </w:tcBorders>
            <w:tcMar>
              <w:top w:w="15" w:type="dxa"/>
              <w:left w:w="15" w:type="dxa"/>
              <w:right w:w="15" w:type="dxa"/>
            </w:tcMar>
            <w:vAlign w:val="center"/>
          </w:tcPr>
          <w:p w:rsidR="00A564DA" w:rsidRDefault="004670D2">
            <w:pPr>
              <w:jc w:val="left"/>
              <w:rPr>
                <w:rFonts w:ascii="仿宋_GB2312" w:eastAsia="仿宋_GB2312" w:hAnsi="仿宋" w:cs="宋体"/>
                <w:color w:val="000000"/>
                <w:sz w:val="20"/>
                <w:szCs w:val="20"/>
              </w:rPr>
            </w:pPr>
            <w:r>
              <w:rPr>
                <w:rFonts w:ascii="仿宋_GB2312" w:eastAsia="仿宋_GB2312" w:hAnsi="仿宋" w:cs="黑体" w:hint="eastAsia"/>
                <w:color w:val="000000"/>
                <w:kern w:val="0"/>
                <w:sz w:val="32"/>
                <w:szCs w:val="32"/>
              </w:rPr>
              <w:t>附件</w:t>
            </w:r>
            <w:r>
              <w:rPr>
                <w:rFonts w:ascii="仿宋_GB2312" w:eastAsia="仿宋_GB2312" w:hAnsi="仿宋" w:cs="黑体" w:hint="eastAsia"/>
                <w:color w:val="000000"/>
                <w:kern w:val="0"/>
                <w:sz w:val="32"/>
                <w:szCs w:val="32"/>
              </w:rPr>
              <w:t>1</w:t>
            </w:r>
            <w:r>
              <w:rPr>
                <w:rFonts w:ascii="仿宋_GB2312" w:eastAsia="仿宋_GB2312" w:hAnsi="仿宋" w:cs="黑体" w:hint="eastAsia"/>
                <w:color w:val="000000"/>
                <w:kern w:val="0"/>
                <w:sz w:val="32"/>
                <w:szCs w:val="32"/>
              </w:rPr>
              <w:t>：</w:t>
            </w:r>
          </w:p>
        </w:tc>
      </w:tr>
      <w:tr w:rsidR="00A564DA">
        <w:trPr>
          <w:trHeight w:val="729"/>
        </w:trPr>
        <w:tc>
          <w:tcPr>
            <w:tcW w:w="14022" w:type="dxa"/>
            <w:gridSpan w:val="12"/>
            <w:tcBorders>
              <w:top w:val="nil"/>
              <w:left w:val="nil"/>
              <w:bottom w:val="single" w:sz="4" w:space="0" w:color="000000"/>
              <w:right w:val="nil"/>
            </w:tcBorders>
            <w:tcMar>
              <w:top w:w="15" w:type="dxa"/>
              <w:left w:w="15" w:type="dxa"/>
              <w:right w:w="15" w:type="dxa"/>
            </w:tcMar>
            <w:vAlign w:val="center"/>
          </w:tcPr>
          <w:p w:rsidR="00A564DA" w:rsidRDefault="0049418C">
            <w:pPr>
              <w:widowControl/>
              <w:jc w:val="center"/>
              <w:textAlignment w:val="center"/>
              <w:rPr>
                <w:rFonts w:ascii="仿宋_GB2312" w:eastAsia="仿宋_GB2312" w:hAnsi="仿宋" w:cs="方正小标宋_GBK"/>
                <w:color w:val="000000"/>
                <w:sz w:val="40"/>
                <w:szCs w:val="40"/>
              </w:rPr>
            </w:pPr>
            <w:r w:rsidRPr="00F2195C">
              <w:rPr>
                <w:rFonts w:ascii="Times New Roman" w:eastAsia="仿宋_GB2312" w:hAnsi="Times New Roman"/>
                <w:color w:val="000000"/>
                <w:kern w:val="0"/>
                <w:sz w:val="32"/>
                <w:szCs w:val="32"/>
                <w:shd w:val="clear" w:color="auto" w:fill="FFFFFF"/>
              </w:rPr>
              <w:t>张家川县</w:t>
            </w:r>
            <w:r w:rsidRPr="00F2195C">
              <w:rPr>
                <w:rFonts w:ascii="Times New Roman" w:eastAsia="仿宋_GB2312" w:hAnsi="Times New Roman"/>
                <w:color w:val="000000"/>
                <w:kern w:val="0"/>
                <w:sz w:val="32"/>
                <w:szCs w:val="32"/>
                <w:shd w:val="clear" w:color="auto" w:fill="FFFFFF"/>
              </w:rPr>
              <w:t>2019</w:t>
            </w:r>
            <w:r w:rsidRPr="00F2195C">
              <w:rPr>
                <w:rFonts w:ascii="Times New Roman" w:eastAsia="仿宋_GB2312" w:hAnsi="Times New Roman"/>
                <w:color w:val="000000"/>
                <w:kern w:val="0"/>
                <w:sz w:val="32"/>
                <w:szCs w:val="32"/>
                <w:shd w:val="clear" w:color="auto" w:fill="FFFFFF"/>
              </w:rPr>
              <w:t>年公开考核招聘急需紧缺岗位教师医务人员岗位列表</w:t>
            </w:r>
          </w:p>
        </w:tc>
      </w:tr>
      <w:tr w:rsidR="00A564DA">
        <w:trPr>
          <w:trHeight w:val="476"/>
        </w:trPr>
        <w:tc>
          <w:tcPr>
            <w:tcW w:w="43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序号</w:t>
            </w:r>
          </w:p>
        </w:tc>
        <w:tc>
          <w:tcPr>
            <w:tcW w:w="490"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18"/>
                <w:szCs w:val="18"/>
              </w:rPr>
            </w:pPr>
            <w:r>
              <w:rPr>
                <w:rFonts w:ascii="仿宋_GB2312" w:eastAsia="仿宋_GB2312" w:hAnsi="仿宋" w:cs="宋体" w:hint="eastAsia"/>
                <w:bCs/>
                <w:color w:val="000000"/>
                <w:kern w:val="0"/>
                <w:sz w:val="18"/>
                <w:szCs w:val="18"/>
              </w:rPr>
              <w:t>招聘单位</w:t>
            </w:r>
          </w:p>
        </w:tc>
        <w:tc>
          <w:tcPr>
            <w:tcW w:w="516"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经费来源</w:t>
            </w:r>
          </w:p>
        </w:tc>
        <w:tc>
          <w:tcPr>
            <w:tcW w:w="49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岗位</w:t>
            </w:r>
            <w:r>
              <w:rPr>
                <w:rFonts w:ascii="仿宋_GB2312" w:eastAsia="仿宋_GB2312" w:hAnsi="仿宋" w:cs="宋体" w:hint="eastAsia"/>
                <w:bCs/>
                <w:color w:val="000000"/>
                <w:kern w:val="0"/>
                <w:sz w:val="20"/>
                <w:szCs w:val="20"/>
              </w:rPr>
              <w:br/>
            </w:r>
            <w:r>
              <w:rPr>
                <w:rFonts w:ascii="仿宋_GB2312" w:eastAsia="仿宋_GB2312" w:hAnsi="仿宋" w:cs="宋体" w:hint="eastAsia"/>
                <w:bCs/>
                <w:color w:val="000000"/>
                <w:kern w:val="0"/>
                <w:sz w:val="20"/>
                <w:szCs w:val="20"/>
              </w:rPr>
              <w:t>代码</w:t>
            </w:r>
          </w:p>
        </w:tc>
        <w:tc>
          <w:tcPr>
            <w:tcW w:w="515"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岗位</w:t>
            </w:r>
            <w:r>
              <w:rPr>
                <w:rFonts w:ascii="仿宋_GB2312" w:eastAsia="仿宋_GB2312" w:hAnsi="仿宋" w:cs="宋体" w:hint="eastAsia"/>
                <w:bCs/>
                <w:color w:val="000000"/>
                <w:kern w:val="0"/>
                <w:sz w:val="20"/>
                <w:szCs w:val="20"/>
              </w:rPr>
              <w:br/>
            </w:r>
            <w:r>
              <w:rPr>
                <w:rFonts w:ascii="仿宋_GB2312" w:eastAsia="仿宋_GB2312" w:hAnsi="仿宋" w:cs="宋体" w:hint="eastAsia"/>
                <w:bCs/>
                <w:color w:val="000000"/>
                <w:kern w:val="0"/>
                <w:sz w:val="20"/>
                <w:szCs w:val="20"/>
              </w:rPr>
              <w:t>类别</w:t>
            </w:r>
          </w:p>
        </w:tc>
        <w:tc>
          <w:tcPr>
            <w:tcW w:w="442"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岗位名称</w:t>
            </w:r>
          </w:p>
        </w:tc>
        <w:tc>
          <w:tcPr>
            <w:tcW w:w="491" w:type="dxa"/>
            <w:vMerge w:val="restart"/>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招聘</w:t>
            </w:r>
            <w:r>
              <w:rPr>
                <w:rFonts w:ascii="仿宋_GB2312" w:eastAsia="仿宋_GB2312" w:hAnsi="仿宋" w:cs="宋体" w:hint="eastAsia"/>
                <w:bCs/>
                <w:color w:val="000000"/>
                <w:kern w:val="0"/>
                <w:sz w:val="20"/>
                <w:szCs w:val="20"/>
              </w:rPr>
              <w:br/>
            </w:r>
            <w:r>
              <w:rPr>
                <w:rFonts w:ascii="仿宋_GB2312" w:eastAsia="仿宋_GB2312" w:hAnsi="仿宋" w:cs="宋体" w:hint="eastAsia"/>
                <w:bCs/>
                <w:color w:val="000000"/>
                <w:kern w:val="0"/>
                <w:sz w:val="20"/>
                <w:szCs w:val="20"/>
              </w:rPr>
              <w:t>人数</w:t>
            </w:r>
          </w:p>
        </w:tc>
        <w:tc>
          <w:tcPr>
            <w:tcW w:w="9845" w:type="dxa"/>
            <w:gridSpan w:val="4"/>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招聘条件</w:t>
            </w:r>
          </w:p>
        </w:tc>
        <w:tc>
          <w:tcPr>
            <w:tcW w:w="802" w:type="dxa"/>
            <w:vMerge w:val="restart"/>
            <w:tcBorders>
              <w:top w:val="single" w:sz="4" w:space="0" w:color="000000"/>
              <w:left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备注</w:t>
            </w:r>
          </w:p>
        </w:tc>
      </w:tr>
      <w:tr w:rsidR="00A564DA">
        <w:trPr>
          <w:trHeight w:val="476"/>
        </w:trPr>
        <w:tc>
          <w:tcPr>
            <w:tcW w:w="43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490"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18"/>
                <w:szCs w:val="18"/>
              </w:rPr>
            </w:pPr>
          </w:p>
        </w:tc>
        <w:tc>
          <w:tcPr>
            <w:tcW w:w="516"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49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515"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442"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491" w:type="dxa"/>
            <w:vMerge/>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学历</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专</w:t>
            </w:r>
            <w:r>
              <w:rPr>
                <w:rFonts w:ascii="仿宋_GB2312" w:eastAsia="仿宋_GB2312" w:hAnsi="仿宋" w:cs="宋体" w:hint="eastAsia"/>
                <w:bCs/>
                <w:color w:val="000000"/>
                <w:kern w:val="0"/>
                <w:sz w:val="20"/>
                <w:szCs w:val="20"/>
              </w:rPr>
              <w:t xml:space="preserve">   </w:t>
            </w:r>
            <w:r>
              <w:rPr>
                <w:rFonts w:ascii="仿宋_GB2312" w:eastAsia="仿宋_GB2312" w:hAnsi="仿宋" w:cs="宋体" w:hint="eastAsia"/>
                <w:bCs/>
                <w:color w:val="000000"/>
                <w:kern w:val="0"/>
                <w:sz w:val="20"/>
                <w:szCs w:val="20"/>
              </w:rPr>
              <w:t>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技术或执业资格证件</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Cs/>
                <w:color w:val="000000"/>
                <w:sz w:val="20"/>
                <w:szCs w:val="20"/>
              </w:rPr>
            </w:pPr>
            <w:r>
              <w:rPr>
                <w:rFonts w:ascii="仿宋_GB2312" w:eastAsia="仿宋_GB2312" w:hAnsi="仿宋" w:cs="宋体" w:hint="eastAsia"/>
                <w:bCs/>
                <w:color w:val="000000"/>
                <w:kern w:val="0"/>
                <w:sz w:val="20"/>
                <w:szCs w:val="20"/>
              </w:rPr>
              <w:t>其他条件</w:t>
            </w:r>
          </w:p>
        </w:tc>
        <w:tc>
          <w:tcPr>
            <w:tcW w:w="802" w:type="dxa"/>
            <w:vMerge/>
            <w:tcBorders>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jc w:val="center"/>
              <w:rPr>
                <w:rFonts w:ascii="仿宋_GB2312" w:eastAsia="仿宋_GB2312" w:hAnsi="仿宋" w:cs="宋体"/>
                <w:bCs/>
                <w:color w:val="000000"/>
                <w:sz w:val="20"/>
                <w:szCs w:val="20"/>
              </w:rPr>
            </w:pPr>
          </w:p>
        </w:tc>
      </w:tr>
      <w:tr w:rsidR="00A564DA" w:rsidTr="00AD2D24">
        <w:trPr>
          <w:trHeight w:val="2115"/>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张家川县第一人民医院</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差额拨款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G001</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医师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4</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本科：临床医学、中西医临床医学</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研究生：临床医学（一级学科），中西医结合（一级学科）</w:t>
            </w:r>
            <w:r>
              <w:rPr>
                <w:rFonts w:ascii="仿宋_GB2312" w:eastAsia="仿宋_GB2312" w:hAnsi="仿宋" w:cs="宋体"/>
                <w:color w:val="000000"/>
                <w:sz w:val="20"/>
                <w:szCs w:val="20"/>
              </w:rPr>
              <w:t xml:space="preserve"> </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widowControl/>
              <w:textAlignment w:val="center"/>
              <w:rPr>
                <w:rFonts w:ascii="仿宋_GB2312" w:eastAsia="仿宋_GB2312" w:hAnsi="仿宋" w:cs="宋体"/>
                <w:color w:val="000000"/>
                <w:sz w:val="20"/>
                <w:szCs w:val="20"/>
              </w:rPr>
            </w:pP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本科生：全日制普通高校毕业并取得相应学位</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p w:rsidR="00A564DA" w:rsidRDefault="00A564DA">
            <w:pPr>
              <w:widowControl/>
              <w:jc w:val="left"/>
              <w:textAlignment w:val="center"/>
              <w:rPr>
                <w:rFonts w:ascii="仿宋_GB2312" w:eastAsia="仿宋_GB2312" w:hAnsi="仿宋" w:cs="宋体"/>
                <w:color w:val="000000"/>
                <w:sz w:val="20"/>
                <w:szCs w:val="20"/>
              </w:rPr>
            </w:pP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rsidTr="00AD2D24">
        <w:trPr>
          <w:trHeight w:val="1673"/>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张家川县第一人民医院</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差额拨款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G002</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医技</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jc w:val="left"/>
              <w:rPr>
                <w:rFonts w:ascii="仿宋_GB2312" w:eastAsia="仿宋_GB2312" w:hAnsi="仿宋"/>
                <w:color w:val="000000"/>
                <w:sz w:val="20"/>
                <w:szCs w:val="20"/>
              </w:rPr>
            </w:pPr>
            <w:r>
              <w:rPr>
                <w:rFonts w:ascii="仿宋_GB2312" w:eastAsia="仿宋_GB2312" w:hAnsi="仿宋" w:hint="eastAsia"/>
                <w:color w:val="000000"/>
                <w:sz w:val="20"/>
                <w:szCs w:val="20"/>
              </w:rPr>
              <w:t>本科：医学影像学、医学影像技术</w:t>
            </w:r>
          </w:p>
          <w:p w:rsidR="00A564DA" w:rsidRDefault="004670D2">
            <w:pPr>
              <w:jc w:val="left"/>
              <w:rPr>
                <w:rFonts w:ascii="仿宋_GB2312" w:eastAsia="仿宋_GB2312" w:hAnsi="仿宋" w:cs="宋体"/>
                <w:color w:val="000000"/>
                <w:sz w:val="20"/>
                <w:szCs w:val="20"/>
              </w:rPr>
            </w:pPr>
            <w:r>
              <w:rPr>
                <w:rFonts w:ascii="仿宋_GB2312" w:eastAsia="仿宋_GB2312" w:hAnsi="仿宋" w:hint="eastAsia"/>
                <w:color w:val="000000"/>
                <w:sz w:val="20"/>
                <w:szCs w:val="20"/>
              </w:rPr>
              <w:t>研究生：影像医学与核医学</w:t>
            </w:r>
            <w:r>
              <w:rPr>
                <w:rFonts w:ascii="仿宋_GB2312" w:eastAsia="仿宋_GB2312" w:hAnsi="仿宋" w:hint="eastAsia"/>
                <w:color w:val="000000"/>
                <w:sz w:val="20"/>
                <w:szCs w:val="20"/>
              </w:rPr>
              <w:t xml:space="preserve">      </w:t>
            </w:r>
          </w:p>
          <w:p w:rsidR="00A564DA" w:rsidRDefault="00A564DA">
            <w:pPr>
              <w:widowControl/>
              <w:jc w:val="left"/>
              <w:textAlignment w:val="center"/>
              <w:rPr>
                <w:rFonts w:ascii="仿宋_GB2312" w:eastAsia="仿宋_GB2312" w:hAnsi="仿宋" w:cs="宋体"/>
                <w:color w:val="000000"/>
                <w:sz w:val="20"/>
                <w:szCs w:val="20"/>
              </w:rPr>
            </w:pP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564DA">
            <w:pPr>
              <w:widowControl/>
              <w:textAlignment w:val="center"/>
              <w:rPr>
                <w:rFonts w:ascii="仿宋_GB2312" w:eastAsia="仿宋_GB2312" w:hAnsi="仿宋" w:cs="宋体"/>
                <w:color w:val="000000"/>
                <w:sz w:val="20"/>
                <w:szCs w:val="20"/>
              </w:rPr>
            </w:pP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本科生：全日制普通高校毕业并取得相应学位</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p w:rsidR="00A564DA" w:rsidRDefault="00A564DA">
            <w:pPr>
              <w:widowControl/>
              <w:jc w:val="left"/>
              <w:textAlignment w:val="center"/>
              <w:rPr>
                <w:rFonts w:ascii="仿宋_GB2312" w:eastAsia="仿宋_GB2312" w:hAnsi="仿宋" w:cs="宋体"/>
                <w:color w:val="000000"/>
                <w:sz w:val="20"/>
                <w:szCs w:val="20"/>
              </w:rPr>
            </w:pP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rsidTr="00AD2D24">
        <w:trPr>
          <w:trHeight w:val="1905"/>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G003</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高中语文</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本科：汉语言文学</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研究生：文艺学、语言学及应用语言学、汉语言文字学、中国古典文献学、中国古代文学、中国现当代文学、比较文学与世界文学、学科教学（语文）；本科阶段为汉语言文学专业。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具有高中教师资格证或相应中小学教师资格考试合格证明和二级甲等及以上普通话证。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G004</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高中数学</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本科：数学与应用数学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研究生：基础数学、计算数学、概率论与数理统计、应用数学、运筹学与控制论、学科教学（数学）；本科阶段为数学与应用数学专业。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G005</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高中英语</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本科：英语</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研究生：英语语言文学、学科教学（英语）。</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G006</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高中物理</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本科：物理学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研究生：理论物理、粒子物理与原子核物理、原子与分子物理、等离子物理、凝聚态物理、声学、光学、无线电物理、学科教学（物理学）；本科阶段为物理学专业。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G007</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高中化学</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本科：化学</w:t>
            </w:r>
            <w:r>
              <w:rPr>
                <w:rFonts w:ascii="仿宋_GB2312" w:eastAsia="仿宋_GB2312" w:hAnsi="仿宋" w:cs="宋体" w:hint="eastAsia"/>
                <w:color w:val="000000"/>
                <w:kern w:val="0"/>
                <w:sz w:val="20"/>
                <w:szCs w:val="20"/>
              </w:rPr>
              <w:t xml:space="preserve"> </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研究生：无机化学、分析化学、有机化学、物理化学（含化学物理）、高分子化学与物理、学科教学（化学）；本科阶段为化学专业。</w:t>
            </w:r>
            <w:r>
              <w:rPr>
                <w:rFonts w:ascii="仿宋_GB2312" w:eastAsia="仿宋_GB2312" w:hAnsi="仿宋" w:cs="宋体" w:hint="eastAsia"/>
                <w:color w:val="000000"/>
                <w:kern w:val="0"/>
                <w:sz w:val="20"/>
                <w:szCs w:val="20"/>
              </w:rPr>
              <w:t xml:space="preserve">                                </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G008</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高中生物</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本科：生物科学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研究生：植物学、动物学、生理学、水生生物学、微生物学、神经生物学、遗传学、发育生物学、细胞生物学、生物化学与分子生物学、生物物理学、生态学、学科教学（生物）；本科阶段为生物科学专业。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890"/>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9</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G009</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高中地理</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本科：地理科学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研究生：自然地理学、人文地理学、地图学与地理信息系统、学科教学（地理）；本科阶段为地理科学专业。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G010</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高中政治</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本科：思想政治教育</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研究生：马克思主义基本原理、马克思主义发展史、马克思主义中国化研究、国外马克思主义研究、思想政治教育、学科教学（思想政治）；本科阶段为思想政治教育专业。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张家川县第一高级中学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G011</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高中历史</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本科：历史学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研究生：史学理论及史学史、考古学及博物馆学、历史地理学、历史文献学、专门史、中国史、中国古代史、中国近现代史、世界史、学科教学（历史）；本科阶段为历史学专业。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G012</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高中语文</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本科：汉语言文学</w:t>
            </w:r>
          </w:p>
          <w:p w:rsidR="00A564DA" w:rsidRDefault="004670D2">
            <w:pPr>
              <w:widowControl/>
              <w:jc w:val="left"/>
              <w:textAlignment w:val="center"/>
              <w:rPr>
                <w:rFonts w:ascii="仿宋_GB2312" w:eastAsia="仿宋_GB2312" w:hAnsi="仿宋" w:cs="宋体"/>
                <w:color w:val="000000"/>
                <w:kern w:val="0"/>
                <w:sz w:val="20"/>
                <w:szCs w:val="20"/>
              </w:rPr>
            </w:pPr>
            <w:r>
              <w:rPr>
                <w:rFonts w:ascii="仿宋_GB2312" w:eastAsia="仿宋_GB2312" w:hAnsi="仿宋" w:cs="宋体" w:hint="eastAsia"/>
                <w:color w:val="000000"/>
                <w:sz w:val="20"/>
                <w:szCs w:val="20"/>
              </w:rPr>
              <w:t>研究生：文艺学、语言学及应用语言学、汉语言文字学、中国古典文献学、中国古代文学、中国现当代文学、比较文学与世界文学、学科教学（语文）；本科阶段为汉语言文学专业。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具有高中教师资格证或相应中小学教师资格考试合格证明和二级甲等及以上普通话证。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G013</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高中数学</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kern w:val="0"/>
                <w:sz w:val="20"/>
                <w:szCs w:val="20"/>
              </w:rPr>
            </w:pPr>
            <w:r>
              <w:rPr>
                <w:rFonts w:ascii="仿宋_GB2312" w:eastAsia="仿宋_GB2312" w:hAnsi="仿宋" w:cs="宋体" w:hint="eastAsia"/>
                <w:color w:val="000000"/>
                <w:kern w:val="0"/>
                <w:sz w:val="20"/>
                <w:szCs w:val="20"/>
              </w:rPr>
              <w:t>本科：数学与应用数学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研究生：基础数学、计算数学、概率论与数理统计、应用数学、运筹学与控制论、学科教学（数学）；本科阶段为数学与应用数学专业。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990"/>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1</w:t>
            </w:r>
            <w:r>
              <w:rPr>
                <w:rFonts w:ascii="仿宋_GB2312" w:eastAsia="仿宋_GB2312" w:hAnsi="仿宋" w:cs="宋体" w:hint="eastAsia"/>
                <w:b/>
                <w:color w:val="000000"/>
                <w:sz w:val="20"/>
                <w:szCs w:val="20"/>
              </w:rPr>
              <w:t>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G014</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高中英语</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kern w:val="0"/>
                <w:sz w:val="20"/>
                <w:szCs w:val="20"/>
              </w:rPr>
            </w:pPr>
            <w:r>
              <w:rPr>
                <w:rFonts w:ascii="仿宋_GB2312" w:eastAsia="仿宋_GB2312" w:hAnsi="仿宋" w:cs="宋体" w:hint="eastAsia"/>
                <w:color w:val="000000"/>
                <w:kern w:val="0"/>
                <w:sz w:val="20"/>
                <w:szCs w:val="20"/>
              </w:rPr>
              <w:t>本科：英语</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研究生：英语语言文学、学科教学（英语）。</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kern w:val="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G015</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高中音乐</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本科：音乐学、音乐表演</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研究生：音乐学、音乐理论、音乐表演艺术及其教育、作曲与作曲技术理论、舞蹈学、钢琴表演艺术及其教育；本科阶段为音乐学或音乐表演专业。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、省部共建师范大学或国家独立设置的艺术院校毕业，取得全日制普通高校本科学历和相应学位。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G016</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高中美术</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本科：美术学、绘画</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研究生：美术学、中国画、油画、绘画；本科阶段为美术学或绘画专业。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、省部共建师范大学或国家独立设置的艺术院校毕业，取得全日制普通高校本科学历和相应学位。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张家川县第二高级中学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G017</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高中体育</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本科：体育教育、运动训练</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研究生：体育人文社会学、体育教育训练学；本科阶段为体育教育或运动训练专业。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、省部共建师范大学或国家独立设置的体育院校毕业，取得全日制普通高校本科学历和相应学位。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1</w:t>
            </w:r>
            <w:r>
              <w:rPr>
                <w:rFonts w:ascii="仿宋_GB2312" w:eastAsia="仿宋_GB2312" w:hAnsi="仿宋" w:cs="宋体" w:hint="eastAsia"/>
                <w:b/>
                <w:color w:val="000000"/>
                <w:sz w:val="20"/>
                <w:szCs w:val="20"/>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G018</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高中语文</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本科：汉语言文学</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研究生：文艺学、语言学及应用语言学、汉语言文字学、中国古典文献学、中国古代文学、中国现当代文学、比较文学与世界文学、学科教学（语文）；本科阶段为汉语言文学专业。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具有高中教师资格证或相应中小学教师资格考试合格证明和二级甲等及以上普通话证。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rsidTr="00AD2D24">
        <w:trPr>
          <w:trHeight w:val="1529"/>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1</w:t>
            </w:r>
            <w:r>
              <w:rPr>
                <w:rFonts w:ascii="仿宋_GB2312" w:eastAsia="仿宋_GB2312" w:hAnsi="仿宋" w:cs="宋体" w:hint="eastAsia"/>
                <w:b/>
                <w:color w:val="000000"/>
                <w:sz w:val="20"/>
                <w:szCs w:val="20"/>
              </w:rPr>
              <w:t>9</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G019</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高中数学</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本科：数学与应用数学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研究生：基础数学、计算数学、概率论与数理统计、应用数学、运筹学与控制论、学科教学（数学）；本科阶段为数学与应用数学专业。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G020</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高中英语</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本科：英语</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研究生：英语语言文学、学科教学（英语）。</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G021</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高中物理</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本科：物理学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研究生：理论物理、粒子物理与原子核物理、原子与分子物理、等离子物理、凝聚态物理、声学、光学、无线电物理、学科教学（物理学）；本科阶段为物理学专业。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G022</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高中化学</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本科：化学</w:t>
            </w:r>
            <w:r>
              <w:rPr>
                <w:rFonts w:ascii="仿宋_GB2312" w:eastAsia="仿宋_GB2312" w:hAnsi="仿宋" w:cs="宋体" w:hint="eastAsia"/>
                <w:color w:val="000000"/>
                <w:kern w:val="0"/>
                <w:sz w:val="20"/>
                <w:szCs w:val="20"/>
              </w:rPr>
              <w:t xml:space="preserve"> </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研究生：无机化学、分析化学、有机化学、物理化学（含化学物理）、高分子化学与物理、学科教学（化学）；本科阶段为化学专业</w:t>
            </w:r>
            <w:r>
              <w:rPr>
                <w:rFonts w:ascii="仿宋_GB2312" w:eastAsia="仿宋_GB2312" w:hAnsi="仿宋" w:cs="宋体" w:hint="eastAsia"/>
                <w:color w:val="000000"/>
                <w:kern w:val="0"/>
                <w:sz w:val="20"/>
                <w:szCs w:val="20"/>
              </w:rPr>
              <w:t xml:space="preserve">                                </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23</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G023</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高中生物</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本科：生物科学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研究生：植物学、动物学、生理学、水生生物学、微生物学、神经生物学、遗传学、发育生物学、细胞生物学、生物化学与分子生物学、生物物理学、生态学、学科教学（生物）；本科阶段为生物科学专业。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500"/>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24</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G024</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高中地理</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本科：地理科学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研究生：自然地理学、人文地理学、地图学与地理信息系统、学科教学（地理）；本科阶段为地理科学专业。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790"/>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w:t>
            </w:r>
            <w:r>
              <w:rPr>
                <w:rFonts w:ascii="仿宋_GB2312" w:eastAsia="仿宋_GB2312" w:hAnsi="仿宋" w:cs="宋体" w:hint="eastAsia"/>
                <w:b/>
                <w:color w:val="000000"/>
                <w:sz w:val="20"/>
                <w:szCs w:val="20"/>
              </w:rPr>
              <w:t>5</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G025</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高中政治</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本科：思想政治教育</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研究生：马克思主义基本原理、马克思主义发展史、马克思主义中国化研究、国外马克思主义研究、思想政治教育、学科教学（思想政治）；本科阶段为思想政治教育专业。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w:t>
            </w:r>
            <w:r>
              <w:rPr>
                <w:rFonts w:ascii="仿宋_GB2312" w:eastAsia="仿宋_GB2312" w:hAnsi="仿宋" w:cs="宋体" w:hint="eastAsia"/>
                <w:b/>
                <w:color w:val="000000"/>
                <w:sz w:val="20"/>
                <w:szCs w:val="20"/>
              </w:rPr>
              <w:t>6</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张家川县第三高级中学</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G026</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高中历史</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本科：历史学</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研究生：史学理论及史学史、考古学及博物馆学、历史地理学、历史文献学、专门史、中国史、中国古代史、中国近现代史、世界史、学科教学（历史）；本科阶段为历史学专业。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具有高中教师资格证或相应中小学教师资格考试合格证明。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w:t>
            </w:r>
            <w:r>
              <w:rPr>
                <w:rFonts w:ascii="仿宋_GB2312" w:eastAsia="仿宋_GB2312" w:hAnsi="仿宋" w:cs="宋体" w:hint="eastAsia"/>
                <w:b/>
                <w:color w:val="000000"/>
                <w:sz w:val="20"/>
                <w:szCs w:val="20"/>
              </w:rPr>
              <w:t>7</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张家川县职业技术中心</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G027</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舞蹈教师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本科：舞蹈学</w:t>
            </w:r>
            <w:r>
              <w:rPr>
                <w:rFonts w:ascii="仿宋_GB2312" w:eastAsia="仿宋_GB2312" w:hAnsi="仿宋" w:cs="宋体" w:hint="eastAsia"/>
                <w:color w:val="000000"/>
                <w:kern w:val="0"/>
                <w:sz w:val="18"/>
                <w:szCs w:val="18"/>
              </w:rPr>
              <w:br/>
            </w:r>
            <w:r>
              <w:rPr>
                <w:rFonts w:ascii="仿宋_GB2312" w:eastAsia="仿宋_GB2312" w:hAnsi="仿宋" w:cs="宋体" w:hint="eastAsia"/>
                <w:color w:val="000000"/>
                <w:kern w:val="0"/>
                <w:sz w:val="18"/>
                <w:szCs w:val="18"/>
              </w:rPr>
              <w:t>研究生：舞蹈学</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具有中职、高中教师资格证，或中小学教师资格考试合格证明。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、省部共建师范大学或国家独立设置的艺术院校毕业，取得全日制普通高校本科学历和相应学位。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2</w:t>
            </w:r>
            <w:r>
              <w:rPr>
                <w:rFonts w:ascii="仿宋_GB2312" w:eastAsia="仿宋_GB2312" w:hAnsi="仿宋" w:cs="宋体" w:hint="eastAsia"/>
                <w:b/>
                <w:color w:val="000000"/>
                <w:sz w:val="20"/>
                <w:szCs w:val="20"/>
              </w:rPr>
              <w:t>8</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张家川县职业技术中心</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G028</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音乐教师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本科：音乐学、音乐表演</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研究生：音乐学、音乐理论、音乐表演艺术及其教育、作曲与作曲技术理论、舞蹈学、钢琴表演艺术及其教育；本科阶段为音乐学或音乐表演专业。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具有中职、高中教师资格证或相应中小学教师资格考试合格证明和二级甲等及以上普通话证。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、省部共建师范大学或国家独立设置的艺术院校毕业，取得全日制普通高校本科学历和相应学位。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2003"/>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lastRenderedPageBreak/>
              <w:t>2</w:t>
            </w:r>
            <w:r>
              <w:rPr>
                <w:rFonts w:ascii="仿宋_GB2312" w:eastAsia="仿宋_GB2312" w:hAnsi="仿宋" w:cs="宋体" w:hint="eastAsia"/>
                <w:b/>
                <w:color w:val="000000"/>
                <w:sz w:val="20"/>
                <w:szCs w:val="20"/>
              </w:rPr>
              <w:t>9</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张家川县职业技术中心</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G029</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hint="eastAsia"/>
                <w:color w:val="000000"/>
                <w:sz w:val="20"/>
                <w:szCs w:val="20"/>
              </w:rPr>
            </w:pPr>
            <w:r>
              <w:rPr>
                <w:rFonts w:ascii="仿宋_GB2312" w:eastAsia="仿宋_GB2312" w:hAnsi="仿宋" w:cs="宋体" w:hint="eastAsia"/>
                <w:color w:val="000000"/>
                <w:sz w:val="20"/>
                <w:szCs w:val="20"/>
              </w:rPr>
              <w:t>专业技术</w:t>
            </w:r>
            <w:bookmarkStart w:id="0" w:name="_GoBack"/>
            <w:bookmarkEnd w:id="0"/>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美术教师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本科：美术学、绘画</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研究生：美术学、中国画、油画、绘画；本科阶段为美术学或绘画专业。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具有中职、高中教师资格证或相应中小学教师资格考试合格证明和二级乙等及以上普通话证。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、省部共建师范大学或国家独立设置的艺术院校毕业，取得全日制普通高校本科学历和相应学位。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4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30</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张家川县职业技术中心</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G030</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体育教师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本科：体育教育、运动训练</w:t>
            </w:r>
            <w:r>
              <w:rPr>
                <w:rFonts w:ascii="仿宋_GB2312" w:eastAsia="仿宋_GB2312" w:hAnsi="仿宋" w:cs="宋体" w:hint="eastAsia"/>
                <w:color w:val="000000"/>
                <w:kern w:val="0"/>
                <w:sz w:val="20"/>
                <w:szCs w:val="20"/>
              </w:rPr>
              <w:br/>
            </w:r>
            <w:r>
              <w:rPr>
                <w:rFonts w:ascii="仿宋_GB2312" w:eastAsia="仿宋_GB2312" w:hAnsi="仿宋" w:cs="宋体" w:hint="eastAsia"/>
                <w:color w:val="000000"/>
                <w:kern w:val="0"/>
                <w:sz w:val="20"/>
                <w:szCs w:val="20"/>
              </w:rPr>
              <w:t>研究生：体育人文社会学、体育教育训练学；本科阶段为体育教育或运动训练专业。</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具有中职、高中教师资格证或相应中小学教师资格考试合格证明和二级乙等及以上普通话证。</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、省部共建师范大学或国家独立设置的体育院校毕业，取得全日制普通高校本科学历和相应学位。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376"/>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31</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张家川县职业技术中心</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G031</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学前教育教师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ind w:left="180" w:hangingChars="100" w:hanging="180"/>
              <w:jc w:val="left"/>
              <w:textAlignment w:val="center"/>
              <w:rPr>
                <w:rFonts w:ascii="仿宋_GB2312" w:eastAsia="仿宋_GB2312" w:hAnsi="仿宋" w:cs="宋体"/>
                <w:color w:val="000000"/>
                <w:kern w:val="0"/>
                <w:sz w:val="18"/>
                <w:szCs w:val="18"/>
              </w:rPr>
            </w:pPr>
            <w:r>
              <w:rPr>
                <w:rFonts w:ascii="仿宋_GB2312" w:eastAsia="仿宋_GB2312" w:hAnsi="仿宋" w:cs="宋体" w:hint="eastAsia"/>
                <w:color w:val="000000"/>
                <w:kern w:val="0"/>
                <w:sz w:val="18"/>
                <w:szCs w:val="18"/>
              </w:rPr>
              <w:t>本科：学前教育</w:t>
            </w:r>
          </w:p>
          <w:p w:rsidR="00A564DA" w:rsidRDefault="004670D2">
            <w:pPr>
              <w:widowControl/>
              <w:ind w:left="180" w:hangingChars="100" w:hanging="180"/>
              <w:jc w:val="left"/>
              <w:textAlignment w:val="center"/>
              <w:rPr>
                <w:rStyle w:val="font01"/>
                <w:rFonts w:ascii="仿宋_GB2312" w:eastAsia="仿宋_GB2312" w:hAnsi="仿宋"/>
              </w:rPr>
            </w:pPr>
            <w:r>
              <w:rPr>
                <w:rStyle w:val="font01"/>
                <w:rFonts w:ascii="仿宋_GB2312" w:eastAsia="仿宋_GB2312" w:hAnsi="仿宋" w:hint="eastAsia"/>
              </w:rPr>
              <w:t>研究生：学前教育学</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具有相应学科教师资格证或中小学教师资格考试合格证明及普通话等级二级乙等以上。</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r w:rsidR="00A564DA">
        <w:trPr>
          <w:trHeight w:val="1768"/>
        </w:trPr>
        <w:tc>
          <w:tcPr>
            <w:tcW w:w="43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3</w:t>
            </w:r>
            <w:r>
              <w:rPr>
                <w:rFonts w:ascii="仿宋_GB2312" w:eastAsia="仿宋_GB2312" w:hAnsi="仿宋" w:cs="宋体" w:hint="eastAsia"/>
                <w:b/>
                <w:color w:val="000000"/>
                <w:sz w:val="20"/>
                <w:szCs w:val="20"/>
              </w:rPr>
              <w:t>2</w:t>
            </w:r>
          </w:p>
        </w:tc>
        <w:tc>
          <w:tcPr>
            <w:tcW w:w="490"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张家川县特殊教育学校</w:t>
            </w:r>
          </w:p>
        </w:tc>
        <w:tc>
          <w:tcPr>
            <w:tcW w:w="51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全额拨款</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AD2D24">
            <w:pPr>
              <w:widowControl/>
              <w:jc w:val="center"/>
              <w:textAlignment w:val="center"/>
              <w:rPr>
                <w:rFonts w:ascii="仿宋_GB2312" w:eastAsia="仿宋_GB2312" w:hAnsi="仿宋" w:cs="宋体"/>
                <w:b/>
                <w:color w:val="000000"/>
                <w:sz w:val="20"/>
                <w:szCs w:val="20"/>
              </w:rPr>
            </w:pPr>
            <w:r>
              <w:rPr>
                <w:rFonts w:ascii="仿宋_GB2312" w:eastAsia="仿宋_GB2312" w:hAnsi="仿宋" w:cs="宋体" w:hint="eastAsia"/>
                <w:b/>
                <w:color w:val="000000"/>
                <w:sz w:val="20"/>
                <w:szCs w:val="20"/>
              </w:rPr>
              <w:t>G032</w:t>
            </w:r>
          </w:p>
        </w:tc>
        <w:tc>
          <w:tcPr>
            <w:tcW w:w="51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专业技术</w:t>
            </w:r>
          </w:p>
        </w:tc>
        <w:tc>
          <w:tcPr>
            <w:tcW w:w="44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教</w:t>
            </w:r>
            <w:r>
              <w:rPr>
                <w:rFonts w:ascii="仿宋_GB2312" w:eastAsia="仿宋_GB2312" w:hAnsi="仿宋" w:cs="宋体" w:hint="eastAsia"/>
                <w:color w:val="000000"/>
                <w:sz w:val="20"/>
                <w:szCs w:val="20"/>
              </w:rPr>
              <w:t>师</w:t>
            </w:r>
          </w:p>
        </w:tc>
        <w:tc>
          <w:tcPr>
            <w:tcW w:w="491"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1</w:t>
            </w:r>
          </w:p>
        </w:tc>
        <w:tc>
          <w:tcPr>
            <w:tcW w:w="626"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20"/>
                <w:szCs w:val="20"/>
              </w:rPr>
              <w:t>全日制本科及以上</w:t>
            </w:r>
          </w:p>
        </w:tc>
        <w:tc>
          <w:tcPr>
            <w:tcW w:w="3999"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kern w:val="0"/>
                <w:sz w:val="18"/>
                <w:szCs w:val="18"/>
              </w:rPr>
            </w:pPr>
            <w:r>
              <w:rPr>
                <w:rFonts w:ascii="仿宋_GB2312" w:eastAsia="仿宋_GB2312" w:hAnsi="仿宋" w:cs="宋体" w:hint="eastAsia"/>
                <w:color w:val="000000"/>
                <w:kern w:val="0"/>
                <w:sz w:val="18"/>
                <w:szCs w:val="18"/>
              </w:rPr>
              <w:t>本科：特殊教育、学前教育、心理学、应用心理学</w:t>
            </w:r>
          </w:p>
          <w:p w:rsidR="00A564DA" w:rsidRDefault="004670D2">
            <w:pPr>
              <w:widowControl/>
              <w:ind w:left="180" w:hangingChars="100" w:hanging="180"/>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研究生：特殊教育学、学前教育学、心理学（一级学科）；本科阶段专业为特殊教育、学前教育、心理学、应用心理学</w:t>
            </w:r>
          </w:p>
        </w:tc>
        <w:tc>
          <w:tcPr>
            <w:tcW w:w="184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textAlignment w:val="center"/>
              <w:rPr>
                <w:rFonts w:ascii="仿宋_GB2312" w:eastAsia="仿宋_GB2312" w:hAnsi="仿宋" w:cs="宋体"/>
                <w:color w:val="000000"/>
                <w:sz w:val="20"/>
                <w:szCs w:val="20"/>
              </w:rPr>
            </w:pPr>
            <w:r>
              <w:rPr>
                <w:rFonts w:ascii="仿宋_GB2312" w:eastAsia="仿宋_GB2312" w:hAnsi="仿宋" w:cs="宋体" w:hint="eastAsia"/>
                <w:color w:val="000000"/>
                <w:kern w:val="0"/>
                <w:sz w:val="18"/>
                <w:szCs w:val="18"/>
              </w:rPr>
              <w:t>具有相应教师资格证或中小学教师资格考试合格证明</w:t>
            </w:r>
          </w:p>
        </w:tc>
        <w:tc>
          <w:tcPr>
            <w:tcW w:w="3375"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本科生：公费师范生，</w:t>
            </w:r>
            <w:r>
              <w:rPr>
                <w:rFonts w:ascii="仿宋_GB2312" w:eastAsia="仿宋_GB2312" w:hAnsi="仿宋" w:cs="宋体" w:hint="eastAsia"/>
                <w:color w:val="000000"/>
                <w:sz w:val="20"/>
                <w:szCs w:val="20"/>
              </w:rPr>
              <w:t>211</w:t>
            </w:r>
            <w:r>
              <w:rPr>
                <w:rFonts w:ascii="仿宋_GB2312" w:eastAsia="仿宋_GB2312" w:hAnsi="仿宋" w:cs="宋体" w:hint="eastAsia"/>
                <w:color w:val="000000"/>
                <w:sz w:val="20"/>
                <w:szCs w:val="20"/>
              </w:rPr>
              <w:t>、</w:t>
            </w:r>
            <w:r>
              <w:rPr>
                <w:rFonts w:ascii="仿宋_GB2312" w:eastAsia="仿宋_GB2312" w:hAnsi="仿宋" w:cs="宋体" w:hint="eastAsia"/>
                <w:color w:val="000000"/>
                <w:sz w:val="20"/>
                <w:szCs w:val="20"/>
              </w:rPr>
              <w:t>985</w:t>
            </w:r>
            <w:r>
              <w:rPr>
                <w:rFonts w:ascii="仿宋_GB2312" w:eastAsia="仿宋_GB2312" w:hAnsi="仿宋" w:cs="宋体" w:hint="eastAsia"/>
                <w:color w:val="000000"/>
                <w:sz w:val="20"/>
                <w:szCs w:val="20"/>
              </w:rPr>
              <w:t>院校</w:t>
            </w:r>
            <w:r>
              <w:rPr>
                <w:rFonts w:ascii="仿宋_GB2312" w:eastAsia="仿宋_GB2312" w:hAnsi="仿宋" w:cs="宋体" w:hint="eastAsia"/>
                <w:color w:val="000000"/>
                <w:kern w:val="0"/>
                <w:sz w:val="20"/>
                <w:szCs w:val="20"/>
              </w:rPr>
              <w:t>或省部共建师范大学全日制普通高校本科学历和相应学位。</w:t>
            </w:r>
            <w:r>
              <w:rPr>
                <w:rFonts w:ascii="仿宋_GB2312" w:eastAsia="仿宋_GB2312" w:hAnsi="仿宋" w:cs="宋体" w:hint="eastAsia"/>
                <w:color w:val="000000"/>
                <w:sz w:val="20"/>
                <w:szCs w:val="20"/>
              </w:rPr>
              <w:t xml:space="preserve">    </w:t>
            </w:r>
          </w:p>
          <w:p w:rsidR="00A564DA" w:rsidRDefault="004670D2">
            <w:pPr>
              <w:widowControl/>
              <w:jc w:val="left"/>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研究生：取得相应学历和学位。</w:t>
            </w:r>
          </w:p>
        </w:tc>
        <w:tc>
          <w:tcPr>
            <w:tcW w:w="802" w:type="dxa"/>
            <w:tcBorders>
              <w:top w:val="single" w:sz="4" w:space="0" w:color="000000"/>
              <w:left w:val="single" w:sz="4" w:space="0" w:color="000000"/>
              <w:bottom w:val="single" w:sz="4" w:space="0" w:color="000000"/>
              <w:right w:val="single" w:sz="4" w:space="0" w:color="000000"/>
            </w:tcBorders>
            <w:tcMar>
              <w:top w:w="15" w:type="dxa"/>
              <w:left w:w="15" w:type="dxa"/>
              <w:right w:w="15" w:type="dxa"/>
            </w:tcMar>
            <w:vAlign w:val="center"/>
          </w:tcPr>
          <w:p w:rsidR="00A564DA" w:rsidRDefault="004670D2">
            <w:pPr>
              <w:widowControl/>
              <w:jc w:val="center"/>
              <w:textAlignment w:val="center"/>
              <w:rPr>
                <w:rFonts w:ascii="仿宋_GB2312" w:eastAsia="仿宋_GB2312" w:hAnsi="仿宋" w:cs="宋体"/>
                <w:color w:val="000000"/>
                <w:sz w:val="20"/>
                <w:szCs w:val="20"/>
              </w:rPr>
            </w:pPr>
            <w:r>
              <w:rPr>
                <w:rFonts w:ascii="仿宋_GB2312" w:eastAsia="仿宋_GB2312" w:hAnsi="仿宋" w:cs="宋体" w:hint="eastAsia"/>
                <w:color w:val="000000"/>
                <w:sz w:val="20"/>
                <w:szCs w:val="20"/>
              </w:rPr>
              <w:t>面试</w:t>
            </w:r>
          </w:p>
        </w:tc>
      </w:tr>
    </w:tbl>
    <w:p w:rsidR="00A564DA" w:rsidRDefault="00A564DA">
      <w:pPr>
        <w:spacing w:line="540" w:lineRule="exact"/>
        <w:jc w:val="center"/>
        <w:rPr>
          <w:rFonts w:ascii="仿宋_GB2312" w:eastAsia="仿宋_GB2312" w:hAnsi="仿宋" w:cs="仿宋_GB2312"/>
          <w:sz w:val="32"/>
          <w:szCs w:val="32"/>
        </w:rPr>
      </w:pPr>
    </w:p>
    <w:sectPr w:rsidR="00A564DA">
      <w:headerReference w:type="default" r:id="rId9"/>
      <w:footerReference w:type="even" r:id="rId10"/>
      <w:footerReference w:type="default" r:id="rId11"/>
      <w:pgSz w:w="16838" w:h="11906" w:orient="landscape"/>
      <w:pgMar w:top="1474" w:right="1984" w:bottom="1474" w:left="1984" w:header="851" w:footer="1587" w:gutter="0"/>
      <w:cols w:space="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0D2" w:rsidRDefault="004670D2">
      <w:r>
        <w:separator/>
      </w:r>
    </w:p>
  </w:endnote>
  <w:endnote w:type="continuationSeparator" w:id="0">
    <w:p w:rsidR="004670D2" w:rsidRDefault="0046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default"/>
    <w:sig w:usb0="61007A87" w:usb1="80000000" w:usb2="00000008" w:usb3="00000000" w:csb0="200101FF" w:csb1="2028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宋体"/>
    <w:charset w:val="86"/>
    <w:family w:val="auto"/>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4DA" w:rsidRDefault="004670D2">
    <w:pPr>
      <w:pStyle w:val="a4"/>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A564DA" w:rsidRDefault="00A564DA">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4DA" w:rsidRDefault="004670D2">
    <w:pPr>
      <w:pStyle w:val="a4"/>
      <w:jc w:val="center"/>
    </w:pPr>
    <w:r>
      <w:t>-</w:t>
    </w:r>
    <w:r>
      <w:fldChar w:fldCharType="begin"/>
    </w:r>
    <w:r>
      <w:instrText xml:space="preserve"> PAGE  \* MERGEFORMAT </w:instrText>
    </w:r>
    <w:r>
      <w:fldChar w:fldCharType="separate"/>
    </w:r>
    <w:r w:rsidR="00AD2D24">
      <w:rPr>
        <w:noProof/>
      </w:rPr>
      <w:t>3</w:t>
    </w:r>
    <w:r>
      <w:fldChar w:fldCharType="end"/>
    </w:r>
    <w:r>
      <w:t>-</w:t>
    </w:r>
  </w:p>
  <w:p w:rsidR="00A564DA" w:rsidRDefault="00A564D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0D2" w:rsidRDefault="004670D2">
      <w:r>
        <w:separator/>
      </w:r>
    </w:p>
  </w:footnote>
  <w:footnote w:type="continuationSeparator" w:id="0">
    <w:p w:rsidR="004670D2" w:rsidRDefault="004670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64DA" w:rsidRDefault="00A564DA">
    <w:pPr>
      <w:pStyle w:val="a5"/>
      <w:pBdr>
        <w:top w:val="none" w:sz="0" w:space="0" w:color="auto"/>
        <w:left w:val="none" w:sz="0" w:space="0" w:color="auto"/>
        <w:bottom w:val="none" w:sz="0" w:space="0" w:color="auto"/>
        <w:right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5078435B"/>
    <w:rsid w:val="00003DFE"/>
    <w:rsid w:val="00007135"/>
    <w:rsid w:val="0002744E"/>
    <w:rsid w:val="0005700D"/>
    <w:rsid w:val="00057A5F"/>
    <w:rsid w:val="0007469E"/>
    <w:rsid w:val="00090314"/>
    <w:rsid w:val="00095D07"/>
    <w:rsid w:val="000A502C"/>
    <w:rsid w:val="000B5D54"/>
    <w:rsid w:val="000F42CF"/>
    <w:rsid w:val="000F6938"/>
    <w:rsid w:val="0015282C"/>
    <w:rsid w:val="00174475"/>
    <w:rsid w:val="00175D26"/>
    <w:rsid w:val="001A3FF6"/>
    <w:rsid w:val="001B385A"/>
    <w:rsid w:val="001B587C"/>
    <w:rsid w:val="001D3FCD"/>
    <w:rsid w:val="00226EDF"/>
    <w:rsid w:val="00262595"/>
    <w:rsid w:val="002701B6"/>
    <w:rsid w:val="002B425E"/>
    <w:rsid w:val="002E18B6"/>
    <w:rsid w:val="002E32C9"/>
    <w:rsid w:val="003026B3"/>
    <w:rsid w:val="00327A4A"/>
    <w:rsid w:val="0033294B"/>
    <w:rsid w:val="00334D83"/>
    <w:rsid w:val="00345D36"/>
    <w:rsid w:val="003830FF"/>
    <w:rsid w:val="0039707D"/>
    <w:rsid w:val="003C2A99"/>
    <w:rsid w:val="003D3FA1"/>
    <w:rsid w:val="003D5880"/>
    <w:rsid w:val="003F0AAA"/>
    <w:rsid w:val="003F4969"/>
    <w:rsid w:val="004256FC"/>
    <w:rsid w:val="004462C8"/>
    <w:rsid w:val="004670D2"/>
    <w:rsid w:val="0048245A"/>
    <w:rsid w:val="0049418C"/>
    <w:rsid w:val="004942D0"/>
    <w:rsid w:val="004A5717"/>
    <w:rsid w:val="004B58DC"/>
    <w:rsid w:val="004F3E5E"/>
    <w:rsid w:val="004F707C"/>
    <w:rsid w:val="00513E48"/>
    <w:rsid w:val="00513FB8"/>
    <w:rsid w:val="0055347E"/>
    <w:rsid w:val="00553539"/>
    <w:rsid w:val="005701A9"/>
    <w:rsid w:val="00572D5A"/>
    <w:rsid w:val="00574B04"/>
    <w:rsid w:val="00595193"/>
    <w:rsid w:val="00597F1A"/>
    <w:rsid w:val="005A440C"/>
    <w:rsid w:val="005C41CC"/>
    <w:rsid w:val="00605C4F"/>
    <w:rsid w:val="00650CE5"/>
    <w:rsid w:val="006621C0"/>
    <w:rsid w:val="006673C3"/>
    <w:rsid w:val="00670081"/>
    <w:rsid w:val="00671286"/>
    <w:rsid w:val="006818C6"/>
    <w:rsid w:val="00683B1E"/>
    <w:rsid w:val="0069793B"/>
    <w:rsid w:val="006A12D9"/>
    <w:rsid w:val="006B7BE8"/>
    <w:rsid w:val="006D0F8D"/>
    <w:rsid w:val="00743F5D"/>
    <w:rsid w:val="00747797"/>
    <w:rsid w:val="00752756"/>
    <w:rsid w:val="00761444"/>
    <w:rsid w:val="0077272C"/>
    <w:rsid w:val="007C35E7"/>
    <w:rsid w:val="007C4611"/>
    <w:rsid w:val="007C7A72"/>
    <w:rsid w:val="007E5314"/>
    <w:rsid w:val="007F337B"/>
    <w:rsid w:val="008178A2"/>
    <w:rsid w:val="00825938"/>
    <w:rsid w:val="00831365"/>
    <w:rsid w:val="0087419E"/>
    <w:rsid w:val="008A4EC9"/>
    <w:rsid w:val="008B2EF6"/>
    <w:rsid w:val="008F0C1A"/>
    <w:rsid w:val="00911613"/>
    <w:rsid w:val="00965F3F"/>
    <w:rsid w:val="00981AC3"/>
    <w:rsid w:val="00983D34"/>
    <w:rsid w:val="009B075D"/>
    <w:rsid w:val="009C598A"/>
    <w:rsid w:val="00A12C77"/>
    <w:rsid w:val="00A43576"/>
    <w:rsid w:val="00A5117E"/>
    <w:rsid w:val="00A564DA"/>
    <w:rsid w:val="00A601B5"/>
    <w:rsid w:val="00A909A1"/>
    <w:rsid w:val="00AA41AB"/>
    <w:rsid w:val="00AB558D"/>
    <w:rsid w:val="00AC6CB8"/>
    <w:rsid w:val="00AD2D24"/>
    <w:rsid w:val="00AE43A5"/>
    <w:rsid w:val="00AF3FC7"/>
    <w:rsid w:val="00AF6650"/>
    <w:rsid w:val="00B01DFB"/>
    <w:rsid w:val="00B10C26"/>
    <w:rsid w:val="00B64BDB"/>
    <w:rsid w:val="00B76DF1"/>
    <w:rsid w:val="00B808BD"/>
    <w:rsid w:val="00BC73CF"/>
    <w:rsid w:val="00BE49CD"/>
    <w:rsid w:val="00BF2297"/>
    <w:rsid w:val="00C333D2"/>
    <w:rsid w:val="00C36CD0"/>
    <w:rsid w:val="00C52783"/>
    <w:rsid w:val="00C67269"/>
    <w:rsid w:val="00C6730A"/>
    <w:rsid w:val="00C741BF"/>
    <w:rsid w:val="00C868C5"/>
    <w:rsid w:val="00CC6E25"/>
    <w:rsid w:val="00CE265D"/>
    <w:rsid w:val="00CE4EC4"/>
    <w:rsid w:val="00CE6639"/>
    <w:rsid w:val="00CF11C4"/>
    <w:rsid w:val="00D32434"/>
    <w:rsid w:val="00D4237F"/>
    <w:rsid w:val="00D77AE4"/>
    <w:rsid w:val="00D808DD"/>
    <w:rsid w:val="00D9513F"/>
    <w:rsid w:val="00DB62ED"/>
    <w:rsid w:val="00DC7415"/>
    <w:rsid w:val="00DF536C"/>
    <w:rsid w:val="00E0209E"/>
    <w:rsid w:val="00E149E1"/>
    <w:rsid w:val="00E30D1B"/>
    <w:rsid w:val="00E41145"/>
    <w:rsid w:val="00E81333"/>
    <w:rsid w:val="00E911FD"/>
    <w:rsid w:val="00E9226F"/>
    <w:rsid w:val="00EA2AE6"/>
    <w:rsid w:val="00EB0533"/>
    <w:rsid w:val="00EB20A7"/>
    <w:rsid w:val="00EC1413"/>
    <w:rsid w:val="00EC4685"/>
    <w:rsid w:val="00F27B02"/>
    <w:rsid w:val="00F343CB"/>
    <w:rsid w:val="00F562E5"/>
    <w:rsid w:val="00F900E1"/>
    <w:rsid w:val="00F90693"/>
    <w:rsid w:val="00FC7FAE"/>
    <w:rsid w:val="00FE42D3"/>
    <w:rsid w:val="00FF2EEC"/>
    <w:rsid w:val="04255E45"/>
    <w:rsid w:val="0463212D"/>
    <w:rsid w:val="060B5A3E"/>
    <w:rsid w:val="1D105210"/>
    <w:rsid w:val="219E4C4D"/>
    <w:rsid w:val="24B329D5"/>
    <w:rsid w:val="24C91B73"/>
    <w:rsid w:val="27AA5475"/>
    <w:rsid w:val="27D1175D"/>
    <w:rsid w:val="286E6ABB"/>
    <w:rsid w:val="2B7B2EEE"/>
    <w:rsid w:val="2F004E91"/>
    <w:rsid w:val="39CD41E5"/>
    <w:rsid w:val="39DE5AE1"/>
    <w:rsid w:val="3BC94B06"/>
    <w:rsid w:val="3BEF709E"/>
    <w:rsid w:val="3CDB32E8"/>
    <w:rsid w:val="4090533F"/>
    <w:rsid w:val="46F7686F"/>
    <w:rsid w:val="4FCD4797"/>
    <w:rsid w:val="5078435B"/>
    <w:rsid w:val="509D419B"/>
    <w:rsid w:val="56044EB3"/>
    <w:rsid w:val="5667062D"/>
    <w:rsid w:val="5A3227A0"/>
    <w:rsid w:val="60735BBA"/>
    <w:rsid w:val="61063C2C"/>
    <w:rsid w:val="6162367E"/>
    <w:rsid w:val="62A12337"/>
    <w:rsid w:val="658B36E0"/>
    <w:rsid w:val="683F3EBB"/>
    <w:rsid w:val="6B6B31CD"/>
    <w:rsid w:val="6BEB7055"/>
    <w:rsid w:val="700D2994"/>
    <w:rsid w:val="70A70F61"/>
    <w:rsid w:val="745B42E1"/>
    <w:rsid w:val="79C206E0"/>
    <w:rsid w:val="7B030E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semiHidden="0" w:unhideWhenUsed="0" w:qFormat="1"/>
    <w:lsdException w:name="footer" w:locked="0" w:semiHidden="0" w:unhideWhenUsed="0"/>
    <w:lsdException w:name="caption" w:uiPriority="35" w:qFormat="1"/>
    <w:lsdException w:name="page number" w:semiHidden="0" w:unhideWhenUsed="0" w:qFormat="1"/>
    <w:lsdException w:name="Title" w:semiHidden="0" w:uiPriority="10" w:unhideWhenUsed="0" w:qFormat="1"/>
    <w:lsdException w:name="Default Paragraph Font" w:locked="0" w:uiPriority="1"/>
    <w:lsdException w:name="Subtitle" w:semiHidden="0" w:uiPriority="11" w:unhideWhenUsed="0" w:qFormat="1"/>
    <w:lsdException w:name="Hyperlink" w:locked="0" w:semiHidden="0"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Web)" w:locked="0" w:semiHidden="0" w:unhideWhenUsed="0" w:qFormat="1"/>
    <w:lsdException w:name="Normal Table" w:locked="0"/>
    <w:lsdException w:name="No List" w:locked="0"/>
    <w:lsdException w:name="Outline List 1" w:locked="0"/>
    <w:lsdException w:name="Outline List 2" w:locked="0"/>
    <w:lsdException w:name="Outline List 3" w:locked="0"/>
    <w:lsdException w:name="Table Grid" w:semiHidden="0" w:uiPriority="59" w:unhideWhenUsed="0"/>
    <w:lsdException w:name="Placeholder Text" w:locked="0"/>
    <w:lsdException w:name="No Spacing" w:lock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lsdException w:name="List Paragraph" w:locked="0"/>
    <w:lsdException w:name="Quote" w:locked="0"/>
    <w:lsdException w:name="Intense Quote" w:lock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locked/>
    <w:rPr>
      <w:sz w:val="18"/>
      <w:szCs w:val="18"/>
    </w:rPr>
  </w:style>
  <w:style w:type="paragraph" w:styleId="a4">
    <w:name w:val="footer"/>
    <w:basedOn w:val="a"/>
    <w:link w:val="Char0"/>
    <w:uiPriority w:val="99"/>
    <w:pPr>
      <w:tabs>
        <w:tab w:val="center" w:pos="4153"/>
        <w:tab w:val="right" w:pos="8306"/>
      </w:tabs>
      <w:snapToGrid w:val="0"/>
      <w:jc w:val="left"/>
    </w:pPr>
    <w:rPr>
      <w:sz w:val="18"/>
    </w:rPr>
  </w:style>
  <w:style w:type="paragraph" w:styleId="a5">
    <w:name w:val="header"/>
    <w:basedOn w:val="a"/>
    <w:link w:val="Char1"/>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uiPriority w:val="99"/>
    <w:qFormat/>
    <w:pPr>
      <w:spacing w:beforeAutospacing="1" w:afterAutospacing="1"/>
      <w:jc w:val="left"/>
    </w:pPr>
    <w:rPr>
      <w:kern w:val="0"/>
      <w:sz w:val="24"/>
    </w:rPr>
  </w:style>
  <w:style w:type="character" w:styleId="a7">
    <w:name w:val="page number"/>
    <w:uiPriority w:val="99"/>
    <w:qFormat/>
    <w:locked/>
    <w:rPr>
      <w:rFonts w:cs="Times New Roman"/>
    </w:rPr>
  </w:style>
  <w:style w:type="character" w:styleId="a8">
    <w:name w:val="Hyperlink"/>
    <w:uiPriority w:val="99"/>
    <w:qFormat/>
    <w:rPr>
      <w:rFonts w:ascii="Arial" w:hAnsi="Arial" w:cs="Arial"/>
      <w:color w:val="2F2F2F"/>
      <w:sz w:val="18"/>
      <w:szCs w:val="18"/>
      <w:u w:val="none"/>
    </w:rPr>
  </w:style>
  <w:style w:type="character" w:customStyle="1" w:styleId="Char0">
    <w:name w:val="页脚 Char"/>
    <w:link w:val="a4"/>
    <w:uiPriority w:val="99"/>
    <w:semiHidden/>
    <w:qFormat/>
    <w:locked/>
    <w:rPr>
      <w:rFonts w:cs="Times New Roman"/>
      <w:sz w:val="18"/>
      <w:szCs w:val="18"/>
    </w:rPr>
  </w:style>
  <w:style w:type="character" w:customStyle="1" w:styleId="Char1">
    <w:name w:val="页眉 Char"/>
    <w:link w:val="a5"/>
    <w:uiPriority w:val="99"/>
    <w:semiHidden/>
    <w:qFormat/>
    <w:locked/>
    <w:rPr>
      <w:rFonts w:cs="Times New Roman"/>
      <w:sz w:val="18"/>
      <w:szCs w:val="18"/>
    </w:rPr>
  </w:style>
  <w:style w:type="character" w:customStyle="1" w:styleId="font01">
    <w:name w:val="font01"/>
    <w:uiPriority w:val="99"/>
    <w:rPr>
      <w:rFonts w:ascii="宋体" w:eastAsia="宋体" w:hAnsi="宋体" w:cs="宋体"/>
      <w:color w:val="000000"/>
      <w:sz w:val="18"/>
      <w:szCs w:val="18"/>
      <w:u w:val="none"/>
    </w:rPr>
  </w:style>
  <w:style w:type="character" w:customStyle="1" w:styleId="font41">
    <w:name w:val="font41"/>
    <w:uiPriority w:val="99"/>
    <w:rPr>
      <w:rFonts w:ascii="宋体" w:eastAsia="宋体" w:hAnsi="宋体" w:cs="宋体"/>
      <w:b/>
      <w:color w:val="000000"/>
      <w:sz w:val="40"/>
      <w:szCs w:val="40"/>
      <w:u w:val="none"/>
    </w:rPr>
  </w:style>
  <w:style w:type="character" w:customStyle="1" w:styleId="font11">
    <w:name w:val="font11"/>
    <w:uiPriority w:val="99"/>
    <w:rPr>
      <w:rFonts w:ascii="Tahoma" w:hAnsi="Tahoma" w:cs="Tahoma"/>
      <w:color w:val="000000"/>
      <w:sz w:val="18"/>
      <w:szCs w:val="18"/>
      <w:u w:val="none"/>
    </w:rPr>
  </w:style>
  <w:style w:type="character" w:customStyle="1" w:styleId="font91">
    <w:name w:val="font91"/>
    <w:uiPriority w:val="99"/>
    <w:rPr>
      <w:rFonts w:ascii="宋体" w:eastAsia="宋体" w:hAnsi="宋体" w:cs="宋体"/>
      <w:color w:val="000000"/>
      <w:sz w:val="18"/>
      <w:szCs w:val="18"/>
      <w:u w:val="single"/>
    </w:rPr>
  </w:style>
  <w:style w:type="character" w:customStyle="1" w:styleId="font61">
    <w:name w:val="font61"/>
    <w:uiPriority w:val="99"/>
    <w:rPr>
      <w:rFonts w:ascii="宋体" w:eastAsia="宋体" w:hAnsi="宋体" w:cs="宋体"/>
      <w:color w:val="000000"/>
      <w:sz w:val="18"/>
      <w:szCs w:val="18"/>
      <w:u w:val="none"/>
    </w:rPr>
  </w:style>
  <w:style w:type="paragraph" w:customStyle="1" w:styleId="p">
    <w:name w:val="p"/>
    <w:basedOn w:val="a"/>
    <w:uiPriority w:val="99"/>
    <w:pPr>
      <w:widowControl/>
      <w:spacing w:before="100" w:beforeAutospacing="1" w:after="100" w:afterAutospacing="1"/>
      <w:jc w:val="left"/>
    </w:pPr>
    <w:rPr>
      <w:rFonts w:ascii="宋体" w:hAnsi="宋体" w:cs="宋体"/>
      <w:kern w:val="0"/>
      <w:sz w:val="24"/>
    </w:rPr>
  </w:style>
  <w:style w:type="character" w:customStyle="1" w:styleId="Char">
    <w:name w:val="批注框文本 Char"/>
    <w:link w:val="a3"/>
    <w:uiPriority w:val="99"/>
    <w:semiHidden/>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5DE905-7306-4C35-9318-77B92E432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1023</Words>
  <Characters>5837</Characters>
  <Application>Microsoft Office Word</Application>
  <DocSecurity>0</DocSecurity>
  <Lines>48</Lines>
  <Paragraphs>13</Paragraphs>
  <ScaleCrop>false</ScaleCrop>
  <Company/>
  <LinksUpToDate>false</LinksUpToDate>
  <CharactersWithSpaces>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天水市麦积区2019年公开考核招聘</dc:title>
  <dc:creator>哦哦哦</dc:creator>
  <cp:lastModifiedBy>赵小谕</cp:lastModifiedBy>
  <cp:revision>131</cp:revision>
  <cp:lastPrinted>2019-05-10T10:47:00Z</cp:lastPrinted>
  <dcterms:created xsi:type="dcterms:W3CDTF">2019-05-07T06:51:00Z</dcterms:created>
  <dcterms:modified xsi:type="dcterms:W3CDTF">2019-05-10T14:05:00Z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