
<file path=[Content_Types].xml><?xml version="1.0" encoding="utf-8"?>
<Types xmlns="http://schemas.openxmlformats.org/package/2006/content-types">
  <Default Extension="xml" ContentType="application/xml"/>
  <Default Extension="emf" ContentType="image/x-e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pct5" w:color="auto" w:fill="FFFFFF"/>
        <w:jc w:val="center"/>
        <w:rPr>
          <w:rFonts w:hint="eastAsia" w:ascii="Arial" w:hAnsi="Arial"/>
          <w:b/>
          <w:sz w:val="30"/>
        </w:rPr>
      </w:pPr>
      <w:r>
        <w:rPr>
          <w:rFonts w:ascii="宋体" w:hAnsi="宋体"/>
          <w:sz w:val="28"/>
          <w:szCs w:val="28"/>
        </w:rPr>
        <w:drawing>
          <wp:inline distT="0" distB="0" distL="114300" distR="114300">
            <wp:extent cx="1967230" cy="415290"/>
            <wp:effectExtent l="0" t="0" r="13970"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4"/>
                    <a:stretch>
                      <a:fillRect/>
                    </a:stretch>
                  </pic:blipFill>
                  <pic:spPr>
                    <a:xfrm>
                      <a:off x="0" y="0"/>
                      <a:ext cx="1967230" cy="415290"/>
                    </a:xfrm>
                    <a:prstGeom prst="rect">
                      <a:avLst/>
                    </a:prstGeom>
                    <a:noFill/>
                    <a:ln>
                      <a:noFill/>
                    </a:ln>
                  </pic:spPr>
                </pic:pic>
              </a:graphicData>
            </a:graphic>
          </wp:inline>
        </w:drawing>
      </w:r>
    </w:p>
    <w:p>
      <w:pPr>
        <w:shd w:val="pct5" w:color="auto" w:fill="FFFFFF"/>
        <w:jc w:val="center"/>
        <w:rPr>
          <w:rStyle w:val="11"/>
          <w:rFonts w:hint="eastAsia" w:ascii="宋体" w:hAnsi="宋体"/>
          <w:bCs w:val="0"/>
          <w:spacing w:val="20"/>
          <w:sz w:val="32"/>
          <w:szCs w:val="32"/>
        </w:rPr>
      </w:pPr>
      <w:r>
        <w:rPr>
          <w:rFonts w:hint="eastAsia" w:ascii="宋体" w:hAnsi="宋体"/>
          <w:b/>
          <w:spacing w:val="20"/>
          <w:sz w:val="32"/>
          <w:szCs w:val="32"/>
        </w:rPr>
        <w:t>汕头大学·香港中文大学联合汕头国际眼科中心</w:t>
      </w:r>
    </w:p>
    <w:p>
      <w:pPr>
        <w:rPr>
          <w:rFonts w:hint="eastAsia" w:ascii="宋体" w:hAnsi="宋体" w:cs="Arial"/>
          <w:b/>
          <w:bCs/>
          <w:kern w:val="0"/>
          <w:sz w:val="32"/>
          <w:szCs w:val="32"/>
          <w:lang w:val="en-US" w:eastAsia="zh-CN"/>
        </w:rPr>
      </w:pPr>
    </w:p>
    <w:p>
      <w:pPr>
        <w:jc w:val="center"/>
        <w:rPr>
          <w:rFonts w:hint="eastAsia" w:ascii="宋体" w:hAnsi="宋体" w:cs="Arial"/>
          <w:b/>
          <w:bCs/>
          <w:kern w:val="0"/>
          <w:sz w:val="32"/>
          <w:szCs w:val="32"/>
          <w:lang w:val="en-US" w:eastAsia="zh-CN"/>
        </w:rPr>
      </w:pPr>
      <w:r>
        <w:rPr>
          <w:rFonts w:hint="eastAsia" w:ascii="宋体" w:hAnsi="宋体" w:cs="Arial"/>
          <w:b/>
          <w:bCs/>
          <w:kern w:val="0"/>
          <w:sz w:val="32"/>
          <w:szCs w:val="32"/>
          <w:lang w:val="en-US" w:eastAsia="zh-CN"/>
        </w:rPr>
        <w:t>2022</w:t>
      </w:r>
      <w:r>
        <w:rPr>
          <w:rFonts w:hint="eastAsia" w:ascii="宋体" w:hAnsi="宋体" w:cs="Arial"/>
          <w:b/>
          <w:bCs/>
          <w:kern w:val="0"/>
          <w:sz w:val="32"/>
          <w:szCs w:val="32"/>
        </w:rPr>
        <w:t>年</w:t>
      </w:r>
      <w:r>
        <w:rPr>
          <w:rFonts w:ascii="宋体" w:hAnsi="宋体" w:cs="Arial"/>
          <w:b/>
          <w:bCs/>
          <w:kern w:val="0"/>
          <w:sz w:val="32"/>
          <w:szCs w:val="32"/>
        </w:rPr>
        <w:t>住院医师规范化培训</w:t>
      </w:r>
      <w:r>
        <w:rPr>
          <w:rFonts w:hint="eastAsia" w:ascii="宋体" w:hAnsi="宋体" w:cs="Arial"/>
          <w:b/>
          <w:bCs/>
          <w:kern w:val="0"/>
          <w:sz w:val="32"/>
          <w:szCs w:val="32"/>
          <w:lang w:val="en-US" w:eastAsia="zh-CN"/>
        </w:rPr>
        <w:t>介绍</w:t>
      </w:r>
    </w:p>
    <w:p>
      <w:pPr>
        <w:jc w:val="center"/>
        <w:rPr>
          <w:rFonts w:hint="eastAsia" w:ascii="宋体" w:hAnsi="宋体" w:cs="Arial"/>
          <w:b/>
          <w:bCs/>
          <w:kern w:val="0"/>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汕头大学·香港中文大学联合汕头国际眼科中心（汕头大学医学院附属医院）由李嘉诚基金会捐资7000万元兴建，成立于2002年6月28日，首创内地（汕头大学）与香港（香港中文大学）联合管理（以下简称汕头国际眼科中心），是广东省卫生健康委员会唯一直属的非营利性三级公立眼科专科医院，承担临床医疗、教学科研、防盲公益、预防保健等任务，是国家药物临床试验机构、广东省高水平临床重点专科医院、广东省眼病精准诊疗工程技术研究中心、广东省教育厅重点学科、广东省健康科普基地、汕头市眼病临床研究中心建设单位、中国科协海智计划（汕头）工作基地工作站、汕头大学医学院眼病临床研究中心、汕头大学医学院眼科研究所、互联网医院。</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bCs/>
          <w:i w:val="0"/>
          <w:caps w:val="0"/>
          <w:color w:val="4B4B4B"/>
          <w:spacing w:val="15"/>
          <w:sz w:val="24"/>
          <w:szCs w:val="24"/>
          <w:shd w:val="clear" w:fill="FFFFFF"/>
          <w:lang w:val="en-US" w:eastAsia="zh-CN"/>
        </w:rPr>
      </w:pPr>
      <w:r>
        <w:rPr>
          <w:rFonts w:hint="eastAsia" w:ascii="宋体" w:hAnsi="宋体" w:eastAsia="宋体" w:cs="宋体"/>
          <w:b/>
          <w:bCs/>
          <w:i w:val="0"/>
          <w:caps w:val="0"/>
          <w:color w:val="4B4B4B"/>
          <w:spacing w:val="15"/>
          <w:sz w:val="24"/>
          <w:szCs w:val="24"/>
          <w:shd w:val="clear" w:fill="FFFFFF"/>
          <w:lang w:val="en-US" w:eastAsia="zh-CN"/>
        </w:rPr>
        <w:t>一、医疗服务</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医院现建筑面积9508平方米，建制床位180张，编制床位132张，实际开放床位107张，日间病床70张。延伸医疗点和科普基地面积约5000平方米。新院面积57249.63平方米，核定床位300张。医院设有白内障，青光眼，眼底病，眼外伤，屈光（视光）与儿童近视防控，角膜眼表，眼肌病与小儿眼，眼眶病眼肿瘤眼整形，神经眼，中医眼等十大眼专科。构建具有鲜明的团队特色和优势的眼科专家团队的分级服务诊疗模式，全面促进学科建设和医院发展。</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20年来，累计服务门诊患者近400万人次，手术量近30万例，住院人次13万人次，服务市外（含境外）患者数约占总诊疗量的41.27%。拥有国家领先技术20项、国家级先进技术38项，省级领先与先进技术66项，原创技术5项，208项新技术新项目与国际同步发展。</w:t>
      </w:r>
    </w:p>
    <w:p>
      <w:pPr>
        <w:pStyle w:val="7"/>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bCs/>
          <w:i w:val="0"/>
          <w:caps w:val="0"/>
          <w:color w:val="4B4B4B"/>
          <w:spacing w:val="15"/>
          <w:sz w:val="24"/>
          <w:szCs w:val="24"/>
          <w:shd w:val="clear" w:fill="FFFFFF"/>
          <w:lang w:val="en-US" w:eastAsia="zh-CN"/>
        </w:rPr>
      </w:pPr>
      <w:r>
        <w:rPr>
          <w:rFonts w:hint="eastAsia" w:ascii="宋体" w:hAnsi="宋体" w:eastAsia="宋体" w:cs="宋体"/>
          <w:b/>
          <w:bCs/>
          <w:i w:val="0"/>
          <w:caps w:val="0"/>
          <w:color w:val="4B4B4B"/>
          <w:spacing w:val="15"/>
          <w:sz w:val="24"/>
          <w:szCs w:val="24"/>
          <w:shd w:val="clear" w:fill="FFFFFF"/>
          <w:lang w:val="en-US" w:eastAsia="zh-CN"/>
        </w:rPr>
        <w:t>师资力量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医院现有职工530人，其中医疗技术人员392人，高级职称57人，博士及硕士学历121人。102名眼科医生中硕士及以上学历占95%（其中博士占21.57%），高级职称占30.39%；现有博士生导师3人、硕士生导师</w:t>
      </w:r>
      <w:r>
        <w:rPr>
          <w:rFonts w:hint="eastAsia" w:ascii="宋体" w:hAnsi="宋体" w:eastAsia="宋体" w:cs="宋体"/>
          <w:sz w:val="24"/>
          <w:szCs w:val="24"/>
          <w:lang w:val="en-US" w:eastAsia="zh-CN"/>
        </w:rPr>
        <w:t>25</w:t>
      </w:r>
      <w:r>
        <w:rPr>
          <w:rFonts w:hint="eastAsia" w:ascii="宋体" w:hAnsi="宋体" w:eastAsia="宋体" w:cs="宋体"/>
          <w:sz w:val="24"/>
          <w:szCs w:val="24"/>
        </w:rPr>
        <w:t>人</w:t>
      </w:r>
      <w:r>
        <w:rPr>
          <w:rFonts w:hint="eastAsia" w:ascii="宋体" w:hAnsi="宋体" w:eastAsia="宋体" w:cs="宋体"/>
          <w:sz w:val="24"/>
          <w:szCs w:val="24"/>
          <w:lang w:eastAsia="zh-CN"/>
        </w:rPr>
        <w:t>，</w:t>
      </w:r>
      <w:r>
        <w:rPr>
          <w:rFonts w:hint="eastAsia" w:ascii="宋体" w:hAnsi="宋体" w:eastAsia="宋体" w:cs="宋体"/>
          <w:sz w:val="24"/>
          <w:szCs w:val="24"/>
        </w:rPr>
        <w:t>带教老师</w:t>
      </w:r>
      <w:r>
        <w:rPr>
          <w:rFonts w:hint="eastAsia" w:ascii="宋体" w:hAnsi="宋体" w:eastAsia="宋体" w:cs="宋体"/>
          <w:sz w:val="24"/>
          <w:szCs w:val="24"/>
          <w:lang w:val="en-US" w:eastAsia="zh-CN"/>
        </w:rPr>
        <w:t>72</w:t>
      </w:r>
      <w:r>
        <w:rPr>
          <w:rFonts w:hint="eastAsia" w:ascii="宋体" w:hAnsi="宋体" w:eastAsia="宋体" w:cs="宋体"/>
          <w:sz w:val="24"/>
          <w:szCs w:val="24"/>
        </w:rPr>
        <w:t>人</w:t>
      </w:r>
      <w:r>
        <w:rPr>
          <w:rFonts w:hint="eastAsia" w:ascii="宋体" w:hAnsi="宋体" w:eastAsia="宋体" w:cs="宋体"/>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p>
    <w:p>
      <w:pPr>
        <w:pStyle w:val="7"/>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0"/>
        <w:jc w:val="both"/>
        <w:textAlignment w:val="auto"/>
        <w:rPr>
          <w:rFonts w:hint="eastAsia" w:ascii="宋体" w:hAnsi="宋体" w:eastAsia="宋体" w:cs="宋体"/>
          <w:b/>
          <w:bCs/>
          <w:i w:val="0"/>
          <w:caps w:val="0"/>
          <w:color w:val="000000"/>
          <w:spacing w:val="15"/>
          <w:sz w:val="24"/>
          <w:szCs w:val="24"/>
          <w:shd w:val="clear" w:fill="FFFFFF"/>
          <w:lang w:val="en-US" w:eastAsia="zh-CN"/>
        </w:rPr>
      </w:pPr>
      <w:r>
        <w:rPr>
          <w:rFonts w:hint="eastAsia" w:ascii="宋体" w:hAnsi="宋体" w:eastAsia="宋体" w:cs="宋体"/>
          <w:b/>
          <w:bCs/>
          <w:i w:val="0"/>
          <w:caps w:val="0"/>
          <w:color w:val="000000"/>
          <w:spacing w:val="15"/>
          <w:sz w:val="24"/>
          <w:szCs w:val="24"/>
          <w:shd w:val="clear" w:fill="FFFFFF"/>
          <w:lang w:val="en-US" w:eastAsia="zh-CN"/>
        </w:rPr>
        <w:t>科学研究</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20年来，汕头国际眼科中心在科研领域承担及参与各级各类科研项目228项，其中，国家级项目及国际横向合作项目27项；获国家及省市级科技进步奖10项；发表论文804篇，被SCI收录论文341篇，总影响因子为1404.239，其中，与国际团队联合发表高水平论文数242篇。在2020年度中国医院科技量值眼科学百强榜排名第15位，临床学科进入ESI全球前1%。</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2022年，汕头国际眼科中心发布了全球首个集合了39种眼底疾病以及早产儿视网膜病变的全生命周期眼健康智能化眼病诊疗预警平台，实现了眼部多疾病多病变的高效精准检测的产学研转化，提升临床诊疗工作的效率及准确性，推进临床与基础相结合的产学研转化。</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val="0"/>
          <w:i w:val="0"/>
          <w:caps w:val="0"/>
          <w:color w:val="333333"/>
          <w:spacing w:val="0"/>
          <w:sz w:val="24"/>
          <w:szCs w:val="24"/>
        </w:rPr>
      </w:pPr>
      <w:r>
        <w:rPr>
          <w:rStyle w:val="11"/>
          <w:rFonts w:hint="eastAsia" w:ascii="宋体" w:hAnsi="宋体" w:eastAsia="宋体" w:cs="宋体"/>
          <w:b/>
          <w:i w:val="0"/>
          <w:caps w:val="0"/>
          <w:color w:val="333333"/>
          <w:spacing w:val="0"/>
          <w:sz w:val="24"/>
          <w:szCs w:val="24"/>
          <w:shd w:val="clear" w:fill="FFFFFF"/>
        </w:rPr>
        <w:t>四、教学培训</w:t>
      </w:r>
    </w:p>
    <w:p>
      <w:pPr>
        <w:pStyle w:val="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val="0"/>
          <w:i w:val="0"/>
          <w:caps w:val="0"/>
          <w:color w:val="333333"/>
          <w:spacing w:val="0"/>
          <w:sz w:val="24"/>
          <w:szCs w:val="24"/>
        </w:rPr>
      </w:pPr>
      <w:r>
        <w:rPr>
          <w:rStyle w:val="11"/>
          <w:rFonts w:hint="eastAsia" w:ascii="宋体" w:hAnsi="宋体" w:eastAsia="宋体" w:cs="宋体"/>
          <w:b/>
          <w:i w:val="0"/>
          <w:caps w:val="0"/>
          <w:color w:val="333333"/>
          <w:spacing w:val="0"/>
          <w:sz w:val="24"/>
          <w:szCs w:val="24"/>
          <w:shd w:val="clear" w:fill="FFFFFF"/>
        </w:rPr>
        <w:t>（一）开拓“国际视野”，引进规范化教育培训体系</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汕头国际眼科中心是汕头大学医学院第五临床学院，以香港为桥梁，与日本大阪大学、香港中文大学、香港眼科医院、香港威尔斯亲王医院等建立联合远程查房系统；开展国际化的临床和科研思维的研究生培养教学模式，建立多元化考核体系，充分应用眼科学现代教育理念，理论与实践并驾齐驱，增强学生科研创新能力。</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汕头国际眼科中心将国际眼科ICO考试纳入毕业后教育体系，共138人通过ICO考试，通过率连续稳居全国前列，其中17人获得全国前三名，6人获ICO奖学金，赴英国、美国、德国接受Fellowship培训。中心所有医生均赴香港接受培训。</w:t>
      </w:r>
    </w:p>
    <w:p>
      <w:pPr>
        <w:pStyle w:val="3"/>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val="0"/>
          <w:i w:val="0"/>
          <w:caps w:val="0"/>
          <w:color w:val="333333"/>
          <w:spacing w:val="0"/>
          <w:sz w:val="24"/>
          <w:szCs w:val="24"/>
        </w:rPr>
      </w:pPr>
      <w:r>
        <w:rPr>
          <w:rStyle w:val="11"/>
          <w:rFonts w:hint="eastAsia" w:ascii="宋体" w:hAnsi="宋体" w:eastAsia="宋体" w:cs="宋体"/>
          <w:b/>
          <w:i w:val="0"/>
          <w:caps w:val="0"/>
          <w:color w:val="333333"/>
          <w:spacing w:val="0"/>
          <w:sz w:val="24"/>
          <w:szCs w:val="24"/>
          <w:shd w:val="clear" w:fill="FFFFFF"/>
        </w:rPr>
        <w:t>（二）建立临床技能与科研思维两手抓的规范化教育体系</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0" w:firstLine="480" w:firstLineChars="200"/>
        <w:jc w:val="both"/>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作为粤东地区规模最大的眼科专科医院，汕头国际眼科中心共有博士研究生导师3名、硕士研究生导师25名、全英授课老师11名。培养博士后5人、博士研究生18人、硕士研究生272名、本科生3607名。博士获高校博士点专项基金3项，硕士获大学生创新训练计划项目国家级3项；省级11项。毕业论文院级优秀率60.96%，发表论文108篇，其中SCI论文60篇。</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2021年，汕头大学“眼视光医学”本科专业获教育部高教司批准并进行第一届招生，由此，汕头国际眼科中心建立起学历教育“本-硕-博”和“学历教育-专业规培-毕业后再教育”的完整体系。</w:t>
      </w:r>
    </w:p>
    <w:p>
      <w:pPr>
        <w:pStyle w:val="7"/>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连续举办十届李嘉诚基金会眼科研究生论坛，共吸引了来自我国16个省、4个直辖市、香港特别行政区以及澳大利亚、印度、日本、韩国、荷兰等其他国家的2000多名学生参加，其中近400名研究生代表用全英文发言参赛，国际化评审团点评指导，展示中国学术新生力量的研究水平。</w:t>
      </w:r>
    </w:p>
    <w:p>
      <w:pPr>
        <w:pStyle w:val="3"/>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right="0" w:firstLine="480"/>
        <w:jc w:val="both"/>
        <w:textAlignment w:val="auto"/>
        <w:rPr>
          <w:rFonts w:hint="eastAsia" w:ascii="宋体" w:hAnsi="宋体" w:eastAsia="宋体" w:cs="宋体"/>
          <w:b w:val="0"/>
          <w:i w:val="0"/>
          <w:caps w:val="0"/>
          <w:color w:val="333333"/>
          <w:spacing w:val="0"/>
          <w:sz w:val="24"/>
          <w:szCs w:val="24"/>
        </w:rPr>
      </w:pPr>
      <w:r>
        <w:rPr>
          <w:rStyle w:val="11"/>
          <w:rFonts w:hint="eastAsia" w:ascii="宋体" w:hAnsi="宋体" w:eastAsia="宋体" w:cs="宋体"/>
          <w:b/>
          <w:i w:val="0"/>
          <w:caps w:val="0"/>
          <w:color w:val="000000"/>
          <w:spacing w:val="0"/>
          <w:sz w:val="24"/>
          <w:szCs w:val="24"/>
          <w:shd w:val="clear" w:fill="FFFFFF"/>
        </w:rPr>
        <w:t>（三）</w:t>
      </w:r>
      <w:r>
        <w:rPr>
          <w:rStyle w:val="11"/>
          <w:rFonts w:hint="eastAsia" w:ascii="宋体" w:hAnsi="宋体" w:eastAsia="宋体" w:cs="宋体"/>
          <w:b/>
          <w:i w:val="0"/>
          <w:caps w:val="0"/>
          <w:color w:val="333333"/>
          <w:spacing w:val="0"/>
          <w:sz w:val="24"/>
          <w:szCs w:val="24"/>
          <w:shd w:val="clear" w:fill="FFFFFF"/>
        </w:rPr>
        <w:t>创新线上线下相结合的教学培训模式</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宋体" w:hAnsi="宋体" w:cs="宋体"/>
          <w:b/>
          <w:bCs/>
          <w:kern w:val="2"/>
          <w:sz w:val="24"/>
          <w:szCs w:val="24"/>
          <w:lang w:val="en-US" w:eastAsia="zh-CN" w:bidi="ar-SA"/>
        </w:rPr>
      </w:pPr>
      <w:r>
        <w:rPr>
          <w:rFonts w:hint="eastAsia" w:ascii="宋体" w:hAnsi="宋体" w:cs="宋体"/>
          <w:b/>
          <w:bCs/>
          <w:kern w:val="2"/>
          <w:sz w:val="24"/>
          <w:szCs w:val="24"/>
          <w:lang w:val="en-US" w:eastAsia="zh-CN" w:bidi="ar-SA"/>
        </w:rPr>
        <w:t>1. 继续医学教育</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以多样化的继续教育为契机，汕头国际眼科中心还为粤东乃至全国各地的基层眼科医生提供了高水平的交流平台，累计完成国家级继续教育项目72项，省级继续教育项目135项，市级继续教育项目134项。</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宋体" w:hAnsi="宋体" w:cs="宋体"/>
          <w:b/>
          <w:bCs/>
          <w:kern w:val="2"/>
          <w:sz w:val="24"/>
          <w:szCs w:val="24"/>
          <w:lang w:val="en-US" w:eastAsia="zh-CN" w:bidi="ar-SA"/>
        </w:rPr>
      </w:pPr>
      <w:r>
        <w:rPr>
          <w:rFonts w:hint="eastAsia" w:ascii="宋体" w:hAnsi="宋体" w:cs="宋体"/>
          <w:b/>
          <w:bCs/>
          <w:kern w:val="2"/>
          <w:sz w:val="24"/>
          <w:szCs w:val="24"/>
          <w:lang w:val="en-US" w:eastAsia="zh-CN" w:bidi="ar-SA"/>
        </w:rPr>
        <w:t>2. 住院医师规范化培训</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2"/>
          <w:sz w:val="24"/>
          <w:szCs w:val="24"/>
          <w:lang w:val="en-US" w:eastAsia="zh-CN" w:bidi="ar-SA"/>
        </w:rPr>
      </w:pPr>
      <w:r>
        <w:rPr>
          <w:rFonts w:hint="eastAsia" w:ascii="宋体" w:hAnsi="宋体" w:eastAsia="宋体" w:cs="宋体"/>
          <w:sz w:val="24"/>
          <w:szCs w:val="24"/>
        </w:rPr>
        <w:t>2015年全国各省全面启动“5+3”住院医师规范化培训新模式，新住培模式开展至今，培养学员159名，已结业学员81名，在培学员78名。</w:t>
      </w:r>
      <w:r>
        <w:rPr>
          <w:rFonts w:hint="eastAsia" w:ascii="宋体" w:hAnsi="宋体" w:cs="宋体"/>
          <w:sz w:val="24"/>
          <w:szCs w:val="24"/>
          <w:lang w:val="en-US" w:eastAsia="zh-CN"/>
        </w:rPr>
        <w:t>结业考核通过率100%。</w:t>
      </w:r>
      <w:r>
        <w:rPr>
          <w:rFonts w:hint="eastAsia" w:ascii="宋体" w:hAnsi="宋体" w:eastAsia="宋体" w:cs="宋体"/>
          <w:kern w:val="2"/>
          <w:sz w:val="24"/>
          <w:szCs w:val="24"/>
          <w:lang w:val="en-US" w:eastAsia="zh-CN" w:bidi="ar-SA"/>
        </w:rPr>
        <w:t>汕头国际眼科中心开展“5+3”新规培模式以来，已形成眼科专业理论课、阅片会、case report、香港远程教育、教学查房的一种规律性的线下双语教学培训模式。</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2020年受新冠肺炎疫情影响，汕头国际眼科中心应时而变，将“数字战疫”的理念运用到了教学培训，形成了线上线下相结合的教学培训创新模式，包括辨图识病、眼科专业课、阅片会、ICO培训、教学查房、人－机（AI）交互读片识病等六大固定模块，每周一至周六为固定授课时间。2020年至今，共开展563场次线上规培直播课程，总浏览量240385人次，已覆盖全国34个省级行政区，成为全国具有较大影响力的眼科规培线上课程，建立了一条跨越疫情的教学桥梁。</w:t>
      </w:r>
    </w:p>
    <w:p>
      <w:pPr>
        <w:pStyle w:val="7"/>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210" w:beforeAutospacing="0" w:after="210" w:afterAutospacing="0" w:line="585" w:lineRule="atLeast"/>
        <w:ind w:right="0"/>
        <w:jc w:val="both"/>
        <w:rPr>
          <w:rFonts w:hint="eastAsia" w:ascii="仿宋" w:hAnsi="仿宋" w:eastAsia="仿宋" w:cs="仿宋"/>
          <w:i w:val="0"/>
          <w:caps w:val="0"/>
          <w:color w:val="4B4B4B"/>
          <w:spacing w:val="15"/>
          <w:sz w:val="24"/>
          <w:szCs w:val="24"/>
          <w:shd w:val="clear" w:fill="FFFFFF"/>
          <w:lang w:eastAsia="zh-CN"/>
        </w:rPr>
      </w:pPr>
      <w:r>
        <w:rPr>
          <w:rFonts w:hint="eastAsia" w:ascii="仿宋" w:hAnsi="仿宋" w:eastAsia="仿宋" w:cs="仿宋"/>
          <w:i w:val="0"/>
          <w:caps w:val="0"/>
          <w:color w:val="4B4B4B"/>
          <w:spacing w:val="15"/>
          <w:sz w:val="24"/>
          <w:szCs w:val="24"/>
          <w:shd w:val="clear" w:fill="FFFFFF"/>
          <w:lang w:val="en-US" w:eastAsia="zh-CN"/>
        </w:rPr>
        <w:t xml:space="preserve"> </w:t>
      </w:r>
      <w:r>
        <w:rPr>
          <w:rFonts w:hint="eastAsia" w:ascii="仿宋" w:hAnsi="仿宋" w:eastAsia="仿宋" w:cs="仿宋"/>
          <w:i w:val="0"/>
          <w:caps w:val="0"/>
          <w:color w:val="4B4B4B"/>
          <w:spacing w:val="15"/>
          <w:sz w:val="24"/>
          <w:szCs w:val="24"/>
          <w:shd w:val="clear" w:fill="FFFFFF"/>
          <w:lang w:eastAsia="zh-CN"/>
        </w:rPr>
        <w:drawing>
          <wp:inline distT="0" distB="0" distL="114300" distR="114300">
            <wp:extent cx="2961005" cy="1475105"/>
            <wp:effectExtent l="0" t="0" r="10795" b="10795"/>
            <wp:docPr id="4" name="图片 4" descr="16461179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46117925(1)"/>
                    <pic:cNvPicPr>
                      <a:picLocks noChangeAspect="1"/>
                    </pic:cNvPicPr>
                  </pic:nvPicPr>
                  <pic:blipFill>
                    <a:blip r:embed="rId5"/>
                    <a:stretch>
                      <a:fillRect/>
                    </a:stretch>
                  </pic:blipFill>
                  <pic:spPr>
                    <a:xfrm>
                      <a:off x="0" y="0"/>
                      <a:ext cx="2961005" cy="1475105"/>
                    </a:xfrm>
                    <a:prstGeom prst="rect">
                      <a:avLst/>
                    </a:prstGeom>
                  </pic:spPr>
                </pic:pic>
              </a:graphicData>
            </a:graphic>
          </wp:inline>
        </w:drawing>
      </w:r>
      <w:r>
        <w:rPr>
          <w:rFonts w:hint="eastAsia" w:ascii="仿宋" w:hAnsi="仿宋" w:eastAsia="仿宋" w:cs="仿宋"/>
          <w:i w:val="0"/>
          <w:caps w:val="0"/>
          <w:color w:val="4B4B4B"/>
          <w:spacing w:val="15"/>
          <w:sz w:val="24"/>
          <w:szCs w:val="24"/>
          <w:shd w:val="clear" w:fill="FFFFFF"/>
          <w:lang w:eastAsia="zh-CN"/>
        </w:rPr>
        <w:drawing>
          <wp:inline distT="0" distB="0" distL="114300" distR="114300">
            <wp:extent cx="3000375" cy="1497330"/>
            <wp:effectExtent l="0" t="0" r="9525" b="7620"/>
            <wp:docPr id="8" name="图片 8" descr="16461179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646117955(1)"/>
                    <pic:cNvPicPr>
                      <a:picLocks noChangeAspect="1"/>
                    </pic:cNvPicPr>
                  </pic:nvPicPr>
                  <pic:blipFill>
                    <a:blip r:embed="rId6"/>
                    <a:stretch>
                      <a:fillRect/>
                    </a:stretch>
                  </pic:blipFill>
                  <pic:spPr>
                    <a:xfrm>
                      <a:off x="0" y="0"/>
                      <a:ext cx="3000375" cy="149733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作为粤东地区规模最大的眼科专科医院，中心配套的眼科设备一应俱全，满足各项眼科诊疗工作的开展，同时也保证了教学活动实施。为了保证培养质量，中心建立</w:t>
      </w:r>
      <w:r>
        <w:rPr>
          <w:rFonts w:hint="eastAsia" w:ascii="宋体" w:hAnsi="宋体" w:eastAsia="宋体" w:cs="宋体"/>
          <w:sz w:val="24"/>
          <w:szCs w:val="24"/>
          <w:lang w:val="en-US" w:eastAsia="zh-CN"/>
        </w:rPr>
        <w:t>临床培训中心</w:t>
      </w:r>
      <w:r>
        <w:rPr>
          <w:rFonts w:hint="eastAsia" w:ascii="宋体" w:hAnsi="宋体" w:eastAsia="宋体" w:cs="宋体"/>
          <w:sz w:val="24"/>
          <w:szCs w:val="24"/>
        </w:rPr>
        <w:t>，共210余平方米，备有</w:t>
      </w:r>
      <w:r>
        <w:rPr>
          <w:rFonts w:hint="eastAsia" w:ascii="宋体" w:hAnsi="宋体" w:eastAsia="宋体" w:cs="宋体"/>
          <w:sz w:val="24"/>
          <w:szCs w:val="24"/>
          <w:lang w:val="en-US" w:eastAsia="zh-CN"/>
        </w:rPr>
        <w:t>11</w:t>
      </w:r>
      <w:r>
        <w:rPr>
          <w:rFonts w:hint="eastAsia" w:ascii="宋体" w:hAnsi="宋体" w:eastAsia="宋体" w:cs="宋体"/>
          <w:sz w:val="24"/>
          <w:szCs w:val="24"/>
        </w:rPr>
        <w:t>台手术显微镜，5台超声乳化仪，1台Eyesi模拟手术系统，1台三维立体视手术系统。建立虚拟与现实相结合的模式，为青年医生提供了动物眼及模拟眼球的实战操作平台，大大缩短学习曲线。</w:t>
      </w:r>
    </w:p>
    <w:p>
      <w:pPr>
        <w:rPr>
          <w:rFonts w:ascii="仿宋" w:hAnsi="仿宋" w:eastAsia="仿宋"/>
          <w:sz w:val="32"/>
          <w:szCs w:val="32"/>
        </w:rPr>
      </w:pPr>
      <w:r>
        <w:rPr>
          <w:rFonts w:ascii="仿宋" w:hAnsi="仿宋" w:eastAsia="仿宋"/>
          <w:sz w:val="32"/>
          <w:szCs w:val="32"/>
        </w:rPr>
        <w:drawing>
          <wp:inline distT="0" distB="0" distL="0" distR="0">
            <wp:extent cx="2924810" cy="1660525"/>
            <wp:effectExtent l="0" t="0" r="8890" b="15875"/>
            <wp:docPr id="6" name="图片 2" descr="D:\Users\LS\Desktop\微信图片_20191211091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D:\Users\LS\Desktop\微信图片_20191211091702.jpg"/>
                    <pic:cNvPicPr>
                      <a:picLocks noChangeAspect="1" noChangeArrowheads="1"/>
                    </pic:cNvPicPr>
                  </pic:nvPicPr>
                  <pic:blipFill>
                    <a:blip r:embed="rId7" cstate="print"/>
                    <a:srcRect/>
                    <a:stretch>
                      <a:fillRect/>
                    </a:stretch>
                  </pic:blipFill>
                  <pic:spPr>
                    <a:xfrm>
                      <a:off x="0" y="0"/>
                      <a:ext cx="2924810" cy="1660525"/>
                    </a:xfrm>
                    <a:prstGeom prst="rect">
                      <a:avLst/>
                    </a:prstGeom>
                    <a:noFill/>
                  </pic:spPr>
                </pic:pic>
              </a:graphicData>
            </a:graphic>
          </wp:inline>
        </w:drawing>
      </w:r>
      <w:r>
        <w:rPr>
          <w:rFonts w:hint="eastAsia"/>
          <w:lang w:val="en-US" w:eastAsia="zh-CN"/>
        </w:rPr>
        <w:t xml:space="preserve">  </w:t>
      </w:r>
      <w:r>
        <w:drawing>
          <wp:inline distT="0" distB="0" distL="114300" distR="114300">
            <wp:extent cx="2856865" cy="1661160"/>
            <wp:effectExtent l="0" t="0" r="635" b="15240"/>
            <wp:docPr id="348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9" name="Picture 3"/>
                    <pic:cNvPicPr>
                      <a:picLocks noChangeAspect="1" noChangeArrowheads="1"/>
                    </pic:cNvPicPr>
                  </pic:nvPicPr>
                  <pic:blipFill>
                    <a:blip r:embed="rId8" cstate="print"/>
                    <a:srcRect/>
                    <a:stretch>
                      <a:fillRect/>
                    </a:stretch>
                  </pic:blipFill>
                  <pic:spPr>
                    <a:xfrm>
                      <a:off x="0" y="0"/>
                      <a:ext cx="2856865" cy="1661160"/>
                    </a:xfrm>
                    <a:prstGeom prst="rect">
                      <a:avLst/>
                    </a:prstGeom>
                    <a:noFill/>
                    <a:ln w="9525">
                      <a:noFill/>
                      <a:miter lim="800000"/>
                      <a:headEnd/>
                      <a:tailEnd/>
                    </a:ln>
                  </pic:spPr>
                </pic:pic>
              </a:graphicData>
            </a:graphic>
          </wp:inline>
        </w:drawing>
      </w:r>
    </w:p>
    <w:p>
      <w:pPr>
        <w:rPr>
          <w:rFonts w:ascii="仿宋" w:hAnsi="仿宋" w:eastAsia="仿宋"/>
          <w:sz w:val="32"/>
          <w:szCs w:val="32"/>
        </w:rPr>
      </w:pPr>
      <w:r>
        <w:drawing>
          <wp:inline distT="0" distB="0" distL="114300" distR="114300">
            <wp:extent cx="2846070" cy="2124075"/>
            <wp:effectExtent l="0" t="0" r="11430" b="9525"/>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a:blip r:embed="rId9" cstate="print"/>
                    <a:srcRect/>
                    <a:stretch>
                      <a:fillRect/>
                    </a:stretch>
                  </pic:blipFill>
                  <pic:spPr>
                    <a:xfrm>
                      <a:off x="0" y="0"/>
                      <a:ext cx="2846070" cy="2124075"/>
                    </a:xfrm>
                    <a:prstGeom prst="rect">
                      <a:avLst/>
                    </a:prstGeom>
                    <a:noFill/>
                    <a:ln w="9525">
                      <a:noFill/>
                      <a:miter lim="800000"/>
                      <a:headEnd/>
                      <a:tailEnd/>
                    </a:ln>
                  </pic:spPr>
                </pic:pic>
              </a:graphicData>
            </a:graphic>
          </wp:inline>
        </w:drawing>
      </w:r>
      <w:r>
        <w:rPr>
          <w:rFonts w:hint="eastAsia"/>
          <w:lang w:val="en-US" w:eastAsia="zh-CN"/>
        </w:rPr>
        <w:t xml:space="preserve">  </w:t>
      </w:r>
      <w:r>
        <w:drawing>
          <wp:inline distT="0" distB="0" distL="114300" distR="114300">
            <wp:extent cx="2938145" cy="2120265"/>
            <wp:effectExtent l="0" t="0" r="14605" b="13335"/>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0" cstate="print"/>
                    <a:srcRect/>
                    <a:stretch>
                      <a:fillRect/>
                    </a:stretch>
                  </pic:blipFill>
                  <pic:spPr>
                    <a:xfrm>
                      <a:off x="0" y="0"/>
                      <a:ext cx="2938145" cy="2120265"/>
                    </a:xfrm>
                    <a:prstGeom prst="rect">
                      <a:avLst/>
                    </a:prstGeom>
                    <a:noFill/>
                    <a:ln w="9525">
                      <a:noFill/>
                      <a:miter lim="800000"/>
                      <a:headEnd/>
                      <a:tailEnd/>
                    </a:ln>
                  </pic:spPr>
                </pic:pic>
              </a:graphicData>
            </a:graphic>
          </wp:inline>
        </w:drawing>
      </w:r>
    </w:p>
    <w:p>
      <w:pPr>
        <w:jc w:val="center"/>
        <w:rPr>
          <w:rFonts w:hint="eastAsia" w:ascii="仿宋" w:hAnsi="仿宋" w:eastAsia="仿宋"/>
          <w:b/>
          <w:bCs/>
          <w:sz w:val="28"/>
          <w:szCs w:val="28"/>
          <w:lang w:val="en-US" w:eastAsia="zh-CN"/>
        </w:rPr>
      </w:pPr>
      <w:r>
        <w:rPr>
          <w:rFonts w:hint="eastAsia" w:ascii="仿宋" w:hAnsi="仿宋" w:eastAsia="仿宋"/>
          <w:b/>
          <w:bCs/>
          <w:sz w:val="28"/>
          <w:szCs w:val="28"/>
          <w:lang w:val="en-US" w:eastAsia="zh-CN"/>
        </w:rPr>
        <w:t>临床培训中心</w:t>
      </w:r>
    </w:p>
    <w:p>
      <w:pPr>
        <w:jc w:val="center"/>
        <w:rPr>
          <w:rFonts w:hint="eastAsia" w:ascii="宋体" w:hAnsi="宋体" w:eastAsia="宋体" w:cs="宋体"/>
          <w:kern w:val="0"/>
          <w:sz w:val="24"/>
          <w:lang w:val="en-US" w:eastAsia="zh-CN"/>
        </w:rPr>
      </w:pPr>
    </w:p>
    <w:p>
      <w:pPr>
        <w:jc w:val="center"/>
        <w:rPr>
          <w:rFonts w:hint="eastAsia" w:ascii="宋体" w:hAnsi="宋体" w:eastAsia="宋体" w:cs="宋体"/>
          <w:kern w:val="0"/>
          <w:sz w:val="24"/>
          <w:lang w:val="en-US" w:eastAsia="zh-CN"/>
        </w:rPr>
      </w:pPr>
    </w:p>
    <w:p>
      <w:pPr>
        <w:widowControl/>
        <w:shd w:val="clear" w:color="auto" w:fill="FFFFFF"/>
        <w:spacing w:line="440" w:lineRule="atLeast"/>
        <w:ind w:firstLine="482" w:firstLineChars="200"/>
        <w:jc w:val="left"/>
        <w:rPr>
          <w:rFonts w:hint="eastAsia" w:ascii="宋体" w:hAnsi="宋体" w:cs="宋体"/>
          <w:b/>
          <w:bCs/>
          <w:kern w:val="0"/>
          <w:sz w:val="24"/>
        </w:rPr>
      </w:pPr>
      <w:r>
        <w:rPr>
          <w:rFonts w:hint="eastAsia" w:ascii="宋体" w:hAnsi="宋体" w:cs="宋体"/>
          <w:b/>
          <w:bCs/>
          <w:kern w:val="0"/>
          <w:sz w:val="24"/>
        </w:rPr>
        <w:t>联系方式：</w:t>
      </w:r>
    </w:p>
    <w:p>
      <w:pPr>
        <w:shd w:val="clear" w:color="auto" w:fill="FFFFFF"/>
        <w:spacing w:line="440" w:lineRule="atLeast"/>
        <w:ind w:firstLine="600" w:firstLineChars="250"/>
        <w:rPr>
          <w:rFonts w:hint="eastAsia" w:ascii="宋体" w:hAnsi="宋体" w:cs="宋体"/>
          <w:color w:val="000000"/>
          <w:kern w:val="0"/>
          <w:sz w:val="24"/>
        </w:rPr>
      </w:pPr>
      <w:r>
        <w:rPr>
          <w:rFonts w:hint="eastAsia" w:ascii="宋体" w:hAnsi="宋体" w:cs="宋体"/>
          <w:color w:val="000000"/>
          <w:sz w:val="24"/>
        </w:rPr>
        <w:t>联</w:t>
      </w:r>
      <w:r>
        <w:rPr>
          <w:rStyle w:val="15"/>
          <w:rFonts w:hint="eastAsia" w:ascii="宋体" w:hAnsi="宋体" w:cs="宋体"/>
          <w:color w:val="000000"/>
          <w:sz w:val="24"/>
        </w:rPr>
        <w:t> </w:t>
      </w:r>
      <w:r>
        <w:rPr>
          <w:rFonts w:hint="eastAsia" w:ascii="宋体" w:hAnsi="宋体" w:cs="宋体"/>
          <w:color w:val="000000"/>
          <w:sz w:val="24"/>
        </w:rPr>
        <w:t>系</w:t>
      </w:r>
      <w:r>
        <w:rPr>
          <w:rStyle w:val="15"/>
          <w:rFonts w:hint="eastAsia" w:ascii="宋体" w:hAnsi="宋体" w:cs="宋体"/>
          <w:color w:val="000000"/>
          <w:sz w:val="24"/>
        </w:rPr>
        <w:t> </w:t>
      </w:r>
      <w:r>
        <w:rPr>
          <w:rFonts w:hint="eastAsia" w:ascii="宋体" w:hAnsi="宋体" w:cs="宋体"/>
          <w:color w:val="000000"/>
          <w:sz w:val="24"/>
        </w:rPr>
        <w:t>人：</w:t>
      </w:r>
      <w:r>
        <w:rPr>
          <w:rFonts w:hint="eastAsia" w:ascii="宋体" w:hAnsi="宋体" w:eastAsia="宋体" w:cs="宋体"/>
          <w:kern w:val="0"/>
          <w:sz w:val="24"/>
          <w:lang w:val="en-US" w:eastAsia="zh-CN"/>
        </w:rPr>
        <w:t>林老师</w:t>
      </w:r>
      <w:r>
        <w:rPr>
          <w:rFonts w:hint="eastAsia" w:ascii="宋体" w:hAnsi="宋体" w:cs="宋体"/>
          <w:color w:val="000000"/>
          <w:sz w:val="24"/>
        </w:rPr>
        <w:t>       </w:t>
      </w:r>
    </w:p>
    <w:p>
      <w:pPr>
        <w:shd w:val="clear" w:color="auto" w:fill="FFFFFF"/>
        <w:spacing w:line="440" w:lineRule="atLeast"/>
        <w:ind w:firstLine="600" w:firstLineChars="250"/>
        <w:rPr>
          <w:rFonts w:hint="eastAsia" w:ascii="宋体" w:hAnsi="宋体" w:eastAsia="宋体" w:cs="宋体"/>
          <w:kern w:val="0"/>
          <w:sz w:val="24"/>
          <w:lang w:val="en-US" w:eastAsia="zh-CN"/>
        </w:rPr>
      </w:pPr>
      <w:r>
        <w:rPr>
          <w:rFonts w:hint="eastAsia" w:ascii="宋体" w:hAnsi="宋体" w:cs="宋体"/>
          <w:color w:val="000000"/>
          <w:sz w:val="24"/>
        </w:rPr>
        <w:t>联系电话：</w:t>
      </w:r>
      <w:r>
        <w:rPr>
          <w:rFonts w:hint="eastAsia" w:ascii="宋体" w:hAnsi="宋体" w:eastAsia="宋体" w:cs="宋体"/>
          <w:kern w:val="0"/>
          <w:sz w:val="24"/>
          <w:lang w:val="en-US" w:eastAsia="zh-CN"/>
        </w:rPr>
        <w:t>0754-88393503</w:t>
      </w:r>
    </w:p>
    <w:p>
      <w:pPr>
        <w:shd w:val="clear" w:color="auto" w:fill="FFFFFF"/>
        <w:spacing w:line="440" w:lineRule="atLeast"/>
        <w:ind w:firstLine="600" w:firstLineChars="250"/>
        <w:rPr>
          <w:rFonts w:hint="default" w:ascii="宋体" w:hAnsi="宋体" w:eastAsia="宋体" w:cs="宋体"/>
          <w:kern w:val="0"/>
          <w:sz w:val="24"/>
          <w:lang w:val="en-US" w:eastAsia="zh-CN"/>
        </w:rPr>
      </w:pPr>
      <w:r>
        <w:rPr>
          <w:rFonts w:hint="eastAsia" w:ascii="宋体" w:hAnsi="宋体" w:cs="宋体"/>
          <w:kern w:val="0"/>
          <w:sz w:val="24"/>
          <w:lang w:val="en-US" w:eastAsia="zh-CN"/>
        </w:rPr>
        <w:t>邮箱：</w:t>
      </w:r>
      <w:r>
        <w:rPr>
          <w:rFonts w:hint="eastAsia" w:ascii="宋体" w:hAnsi="宋体" w:eastAsia="宋体" w:cs="宋体"/>
          <w:kern w:val="0"/>
          <w:sz w:val="24"/>
          <w:lang w:val="en-US" w:eastAsia="zh-CN"/>
        </w:rPr>
        <w:t>ls@jsiec.org</w:t>
      </w:r>
    </w:p>
    <w:p>
      <w:pPr>
        <w:shd w:val="clear" w:color="auto" w:fill="FFFFFF"/>
        <w:spacing w:line="440" w:lineRule="atLeast"/>
        <w:ind w:firstLine="600" w:firstLineChars="250"/>
        <w:rPr>
          <w:rFonts w:hint="default" w:ascii="宋体" w:hAnsi="宋体" w:eastAsia="宋体" w:cs="宋体"/>
          <w:kern w:val="0"/>
          <w:sz w:val="24"/>
          <w:lang w:val="en-US" w:eastAsia="zh-CN"/>
        </w:rPr>
      </w:pPr>
      <w:r>
        <w:rPr>
          <w:rFonts w:hint="eastAsia" w:ascii="宋体" w:hAnsi="宋体" w:eastAsia="宋体" w:cs="宋体"/>
          <w:kern w:val="0"/>
          <w:sz w:val="24"/>
          <w:lang w:val="en-US" w:eastAsia="zh-CN"/>
        </w:rPr>
        <w:t>汕头大学·香</w:t>
      </w:r>
      <w:bookmarkStart w:id="0" w:name="_GoBack"/>
      <w:bookmarkEnd w:id="0"/>
      <w:r>
        <w:rPr>
          <w:rFonts w:hint="eastAsia" w:ascii="宋体" w:hAnsi="宋体" w:eastAsia="宋体" w:cs="宋体"/>
          <w:kern w:val="0"/>
          <w:sz w:val="24"/>
          <w:lang w:val="en-US" w:eastAsia="zh-CN"/>
        </w:rPr>
        <w:t>港中文大学联合汕头国际眼科中心官网：http://www.jsiec.org</w:t>
      </w:r>
    </w:p>
    <w:sectPr>
      <w:pgSz w:w="11906" w:h="16838"/>
      <w:pgMar w:top="1440" w:right="1080" w:bottom="1440" w:left="108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PingFangSC-light">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F4BC427"/>
    <w:multiLevelType w:val="singleLevel"/>
    <w:tmpl w:val="AF4BC427"/>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1"/>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232098"/>
    <w:rsid w:val="00022AE3"/>
    <w:rsid w:val="00061A63"/>
    <w:rsid w:val="00070EF0"/>
    <w:rsid w:val="000738B7"/>
    <w:rsid w:val="00085491"/>
    <w:rsid w:val="000B7960"/>
    <w:rsid w:val="000D020B"/>
    <w:rsid w:val="000D5263"/>
    <w:rsid w:val="000D7CCE"/>
    <w:rsid w:val="000E032A"/>
    <w:rsid w:val="000F2E87"/>
    <w:rsid w:val="00121026"/>
    <w:rsid w:val="0016164E"/>
    <w:rsid w:val="00171D84"/>
    <w:rsid w:val="0018268C"/>
    <w:rsid w:val="0018477E"/>
    <w:rsid w:val="001A346E"/>
    <w:rsid w:val="001B3C03"/>
    <w:rsid w:val="001C122C"/>
    <w:rsid w:val="001D02FC"/>
    <w:rsid w:val="001D354D"/>
    <w:rsid w:val="001E4CC1"/>
    <w:rsid w:val="001F0AE7"/>
    <w:rsid w:val="001F1F3A"/>
    <w:rsid w:val="00223258"/>
    <w:rsid w:val="00232098"/>
    <w:rsid w:val="00233422"/>
    <w:rsid w:val="002342DF"/>
    <w:rsid w:val="00255C6A"/>
    <w:rsid w:val="00256E96"/>
    <w:rsid w:val="002648F5"/>
    <w:rsid w:val="00267B1C"/>
    <w:rsid w:val="00272207"/>
    <w:rsid w:val="00274E67"/>
    <w:rsid w:val="002A2EAC"/>
    <w:rsid w:val="002A7DAC"/>
    <w:rsid w:val="002B0EC0"/>
    <w:rsid w:val="002C40D3"/>
    <w:rsid w:val="002C7FBD"/>
    <w:rsid w:val="002F4416"/>
    <w:rsid w:val="00322C0D"/>
    <w:rsid w:val="00327CC9"/>
    <w:rsid w:val="00333DC3"/>
    <w:rsid w:val="003500C9"/>
    <w:rsid w:val="00362651"/>
    <w:rsid w:val="00384C34"/>
    <w:rsid w:val="00390506"/>
    <w:rsid w:val="003A25B1"/>
    <w:rsid w:val="003D5A66"/>
    <w:rsid w:val="00404F46"/>
    <w:rsid w:val="00421EB5"/>
    <w:rsid w:val="004524F1"/>
    <w:rsid w:val="004556ED"/>
    <w:rsid w:val="00457B90"/>
    <w:rsid w:val="004816EF"/>
    <w:rsid w:val="0049037A"/>
    <w:rsid w:val="004933A3"/>
    <w:rsid w:val="004D2DEF"/>
    <w:rsid w:val="004E3977"/>
    <w:rsid w:val="00504194"/>
    <w:rsid w:val="00504420"/>
    <w:rsid w:val="005112AB"/>
    <w:rsid w:val="0052639B"/>
    <w:rsid w:val="00564707"/>
    <w:rsid w:val="005661C5"/>
    <w:rsid w:val="00573061"/>
    <w:rsid w:val="00573363"/>
    <w:rsid w:val="005740EA"/>
    <w:rsid w:val="005E51F7"/>
    <w:rsid w:val="00604AC0"/>
    <w:rsid w:val="006419BC"/>
    <w:rsid w:val="006754D4"/>
    <w:rsid w:val="00675987"/>
    <w:rsid w:val="00686541"/>
    <w:rsid w:val="00692942"/>
    <w:rsid w:val="00697517"/>
    <w:rsid w:val="006B0F75"/>
    <w:rsid w:val="006B17E7"/>
    <w:rsid w:val="006B1B35"/>
    <w:rsid w:val="006B1CE5"/>
    <w:rsid w:val="006B25EF"/>
    <w:rsid w:val="0070238B"/>
    <w:rsid w:val="00706B86"/>
    <w:rsid w:val="00717B99"/>
    <w:rsid w:val="007501FE"/>
    <w:rsid w:val="0075246E"/>
    <w:rsid w:val="007879DB"/>
    <w:rsid w:val="007973E4"/>
    <w:rsid w:val="00797630"/>
    <w:rsid w:val="007B26CC"/>
    <w:rsid w:val="007E2229"/>
    <w:rsid w:val="007E565B"/>
    <w:rsid w:val="007E7D8F"/>
    <w:rsid w:val="007F2633"/>
    <w:rsid w:val="00801D21"/>
    <w:rsid w:val="008067AB"/>
    <w:rsid w:val="00811E4C"/>
    <w:rsid w:val="008319C1"/>
    <w:rsid w:val="008357BD"/>
    <w:rsid w:val="008759AE"/>
    <w:rsid w:val="00891642"/>
    <w:rsid w:val="00891E20"/>
    <w:rsid w:val="008A0AF5"/>
    <w:rsid w:val="008A5540"/>
    <w:rsid w:val="008A751C"/>
    <w:rsid w:val="008B101C"/>
    <w:rsid w:val="008B5C4E"/>
    <w:rsid w:val="008E243A"/>
    <w:rsid w:val="008F470D"/>
    <w:rsid w:val="008F526D"/>
    <w:rsid w:val="00912475"/>
    <w:rsid w:val="00961D22"/>
    <w:rsid w:val="00970A99"/>
    <w:rsid w:val="00977A08"/>
    <w:rsid w:val="00982C79"/>
    <w:rsid w:val="009849ED"/>
    <w:rsid w:val="009A05AF"/>
    <w:rsid w:val="009B0128"/>
    <w:rsid w:val="009B0753"/>
    <w:rsid w:val="009D25E9"/>
    <w:rsid w:val="009E0F38"/>
    <w:rsid w:val="009F0E34"/>
    <w:rsid w:val="00A0547C"/>
    <w:rsid w:val="00A54787"/>
    <w:rsid w:val="00A605EB"/>
    <w:rsid w:val="00A6285E"/>
    <w:rsid w:val="00A754EA"/>
    <w:rsid w:val="00A763E0"/>
    <w:rsid w:val="00A9765A"/>
    <w:rsid w:val="00AB3131"/>
    <w:rsid w:val="00AB584C"/>
    <w:rsid w:val="00AC4B9D"/>
    <w:rsid w:val="00AE79F4"/>
    <w:rsid w:val="00AF4AEA"/>
    <w:rsid w:val="00B051FE"/>
    <w:rsid w:val="00B20457"/>
    <w:rsid w:val="00B47C83"/>
    <w:rsid w:val="00B51EA4"/>
    <w:rsid w:val="00B82E69"/>
    <w:rsid w:val="00BD14A0"/>
    <w:rsid w:val="00BD3756"/>
    <w:rsid w:val="00BD67D4"/>
    <w:rsid w:val="00C00CD1"/>
    <w:rsid w:val="00C02953"/>
    <w:rsid w:val="00C05747"/>
    <w:rsid w:val="00C23AF4"/>
    <w:rsid w:val="00C539AC"/>
    <w:rsid w:val="00C738D5"/>
    <w:rsid w:val="00C760DF"/>
    <w:rsid w:val="00C87F52"/>
    <w:rsid w:val="00CA2C53"/>
    <w:rsid w:val="00CD4538"/>
    <w:rsid w:val="00CE0797"/>
    <w:rsid w:val="00CF4607"/>
    <w:rsid w:val="00D02394"/>
    <w:rsid w:val="00D0496C"/>
    <w:rsid w:val="00D204EB"/>
    <w:rsid w:val="00D24A30"/>
    <w:rsid w:val="00D30AF6"/>
    <w:rsid w:val="00D43B3E"/>
    <w:rsid w:val="00D501A7"/>
    <w:rsid w:val="00D5583B"/>
    <w:rsid w:val="00D57CCF"/>
    <w:rsid w:val="00D622FD"/>
    <w:rsid w:val="00D72884"/>
    <w:rsid w:val="00D823E7"/>
    <w:rsid w:val="00D866F0"/>
    <w:rsid w:val="00D87639"/>
    <w:rsid w:val="00D909D4"/>
    <w:rsid w:val="00DA5240"/>
    <w:rsid w:val="00DD3D70"/>
    <w:rsid w:val="00DD7F04"/>
    <w:rsid w:val="00DE1F68"/>
    <w:rsid w:val="00DF045E"/>
    <w:rsid w:val="00E07189"/>
    <w:rsid w:val="00E2533A"/>
    <w:rsid w:val="00E33509"/>
    <w:rsid w:val="00E3615B"/>
    <w:rsid w:val="00E53019"/>
    <w:rsid w:val="00E732CA"/>
    <w:rsid w:val="00EA0732"/>
    <w:rsid w:val="00EA7BB0"/>
    <w:rsid w:val="00EB7BB8"/>
    <w:rsid w:val="00EC20C7"/>
    <w:rsid w:val="00ED3519"/>
    <w:rsid w:val="00F060C1"/>
    <w:rsid w:val="00F067B5"/>
    <w:rsid w:val="00F22604"/>
    <w:rsid w:val="00F230C7"/>
    <w:rsid w:val="00F237A7"/>
    <w:rsid w:val="00F25AD2"/>
    <w:rsid w:val="00F34A82"/>
    <w:rsid w:val="00F41D08"/>
    <w:rsid w:val="00F447B6"/>
    <w:rsid w:val="00F62273"/>
    <w:rsid w:val="00F658E0"/>
    <w:rsid w:val="00F74610"/>
    <w:rsid w:val="00F75AB4"/>
    <w:rsid w:val="00F95A93"/>
    <w:rsid w:val="00FA47E1"/>
    <w:rsid w:val="00FB03E3"/>
    <w:rsid w:val="00FD6194"/>
    <w:rsid w:val="00FF53A7"/>
    <w:rsid w:val="1D93515E"/>
    <w:rsid w:val="419F699C"/>
    <w:rsid w:val="46CB4765"/>
    <w:rsid w:val="67CC1B8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semiHidden/>
    <w:unhideWhenUsed/>
    <w:qFormat/>
    <w:uiPriority w:val="9"/>
    <w:pPr>
      <w:spacing w:before="0" w:beforeAutospacing="1" w:after="0" w:afterAutospacing="1"/>
      <w:jc w:val="left"/>
    </w:pPr>
    <w:rPr>
      <w:rFonts w:hint="eastAsia" w:ascii="宋体" w:hAnsi="宋体" w:eastAsia="宋体" w:cs="宋体"/>
      <w:b/>
      <w:kern w:val="0"/>
      <w:sz w:val="27"/>
      <w:szCs w:val="27"/>
      <w:lang w:val="en-US" w:eastAsia="zh-CN" w:bidi="ar"/>
    </w:rPr>
  </w:style>
  <w:style w:type="paragraph" w:styleId="3">
    <w:name w:val="heading 4"/>
    <w:basedOn w:val="1"/>
    <w:next w:val="1"/>
    <w:semiHidden/>
    <w:unhideWhenUsed/>
    <w:qFormat/>
    <w:uiPriority w:val="9"/>
    <w:pPr>
      <w:spacing w:before="0" w:beforeAutospacing="1" w:after="0" w:afterAutospacing="1"/>
      <w:jc w:val="left"/>
    </w:pPr>
    <w:rPr>
      <w:rFonts w:hint="eastAsia" w:ascii="宋体" w:hAnsi="宋体" w:eastAsia="宋体" w:cs="宋体"/>
      <w:b/>
      <w:kern w:val="0"/>
      <w:sz w:val="24"/>
      <w:szCs w:val="24"/>
      <w:lang w:val="en-US" w:eastAsia="zh-CN" w:bidi="ar"/>
    </w:rPr>
  </w:style>
  <w:style w:type="character" w:default="1" w:styleId="10">
    <w:name w:val="Default Paragraph Font"/>
    <w:semiHidden/>
    <w:unhideWhenUsed/>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4">
    <w:name w:val="Balloon Text"/>
    <w:basedOn w:val="1"/>
    <w:link w:val="14"/>
    <w:semiHidden/>
    <w:unhideWhenUsed/>
    <w:qFormat/>
    <w:uiPriority w:val="99"/>
    <w:rPr>
      <w:sz w:val="18"/>
      <w:szCs w:val="18"/>
    </w:rPr>
  </w:style>
  <w:style w:type="paragraph" w:styleId="5">
    <w:name w:val="footer"/>
    <w:basedOn w:val="1"/>
    <w:link w:val="13"/>
    <w:semiHidden/>
    <w:unhideWhenUsed/>
    <w:uiPriority w:val="99"/>
    <w:pPr>
      <w:tabs>
        <w:tab w:val="center" w:pos="4153"/>
        <w:tab w:val="right" w:pos="8306"/>
      </w:tabs>
      <w:snapToGrid w:val="0"/>
      <w:jc w:val="left"/>
    </w:pPr>
    <w:rPr>
      <w:sz w:val="18"/>
      <w:szCs w:val="18"/>
    </w:rPr>
  </w:style>
  <w:style w:type="paragraph" w:styleId="6">
    <w:name w:val="header"/>
    <w:basedOn w:val="1"/>
    <w:link w:val="12"/>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7">
    <w:name w:val="Normal (Web)"/>
    <w:basedOn w:val="1"/>
    <w:uiPriority w:val="99"/>
    <w:pPr>
      <w:widowControl/>
      <w:spacing w:before="100" w:beforeAutospacing="1" w:after="100" w:afterAutospacing="1"/>
      <w:jc w:val="left"/>
    </w:pPr>
    <w:rPr>
      <w:rFonts w:ascii="宋体" w:hAnsi="宋体" w:cs="宋体"/>
      <w:kern w:val="0"/>
      <w:sz w:val="24"/>
      <w:szCs w:val="24"/>
    </w:rPr>
  </w:style>
  <w:style w:type="table" w:styleId="9">
    <w:name w:val="Table Grid"/>
    <w:basedOn w:val="8"/>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1">
    <w:name w:val="Strong"/>
    <w:basedOn w:val="10"/>
    <w:qFormat/>
    <w:uiPriority w:val="0"/>
    <w:rPr>
      <w:b/>
      <w:bCs/>
    </w:rPr>
  </w:style>
  <w:style w:type="character" w:customStyle="1" w:styleId="12">
    <w:name w:val="页眉 Char"/>
    <w:basedOn w:val="10"/>
    <w:link w:val="6"/>
    <w:semiHidden/>
    <w:qFormat/>
    <w:uiPriority w:val="99"/>
    <w:rPr>
      <w:kern w:val="2"/>
      <w:sz w:val="18"/>
      <w:szCs w:val="18"/>
    </w:rPr>
  </w:style>
  <w:style w:type="character" w:customStyle="1" w:styleId="13">
    <w:name w:val="页脚 Char"/>
    <w:basedOn w:val="10"/>
    <w:link w:val="5"/>
    <w:semiHidden/>
    <w:qFormat/>
    <w:uiPriority w:val="99"/>
    <w:rPr>
      <w:kern w:val="2"/>
      <w:sz w:val="18"/>
      <w:szCs w:val="18"/>
    </w:rPr>
  </w:style>
  <w:style w:type="character" w:customStyle="1" w:styleId="14">
    <w:name w:val="批注框文本 Char"/>
    <w:basedOn w:val="10"/>
    <w:link w:val="4"/>
    <w:semiHidden/>
    <w:qFormat/>
    <w:uiPriority w:val="99"/>
    <w:rPr>
      <w:kern w:val="2"/>
      <w:sz w:val="18"/>
      <w:szCs w:val="18"/>
    </w:rPr>
  </w:style>
  <w:style w:type="character" w:customStyle="1" w:styleId="15">
    <w:name w:val="apple-converted-space"/>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emf"/><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19</Pages>
  <Words>1045</Words>
  <Characters>5960</Characters>
  <Lines>49</Lines>
  <Paragraphs>13</Paragraphs>
  <TotalTime>3</TotalTime>
  <ScaleCrop>false</ScaleCrop>
  <LinksUpToDate>false</LinksUpToDate>
  <CharactersWithSpaces>6992</CharactersWithSpaces>
  <Application>WPS Office_11.1.0.11294_F1E327BC-269C-435d-A152-05C5408002CA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2020-03-09T03:42:00Z</dcterms:created>
  <dc:creator>JSIEC</dc:creator>
  <cp:lastModifiedBy>丹燕～</cp:lastModifiedBy>
  <dcterms:modified xsi:type="dcterms:W3CDTF">2022-03-01T10:24:00Z</dcterms:modified>
  <cp:revision>131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707997B58E7642B9AF0E207CB29D05F5</vt:lpwstr>
  </property>
</Properties>
</file>