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FZXBSJW--GB1-0" w:hAnsi="FZXBSJW--GB1-0" w:eastAsia="FZXBSJW--GB1-0" w:cs="FZXBSJW--GB1-0"/>
          <w:b w:val="0"/>
          <w:bCs w:val="0"/>
          <w:color w:val="000000"/>
          <w:sz w:val="43"/>
          <w:szCs w:val="43"/>
        </w:rPr>
      </w:pPr>
      <w:r>
        <w:rPr>
          <w:rFonts w:ascii="黑体" w:hAnsi="宋体" w:eastAsia="黑体" w:cs="黑体"/>
          <w:b w:val="0"/>
          <w:bCs w:val="0"/>
          <w:color w:val="000000"/>
          <w:sz w:val="31"/>
          <w:szCs w:val="31"/>
        </w:rPr>
        <w:t>附件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5</w:t>
      </w:r>
    </w:p>
    <w:p>
      <w:pPr>
        <w:ind w:firstLine="1290" w:firstLineChars="300"/>
        <w:rPr>
          <w:rFonts w:ascii="FZXBSJW--GB1-0" w:hAnsi="FZXBSJW--GB1-0" w:eastAsia="FZXBSJW--GB1-0" w:cs="FZXBSJW--GB1-0"/>
          <w:b w:val="0"/>
          <w:bCs w:val="0"/>
          <w:color w:val="000000"/>
          <w:sz w:val="43"/>
          <w:szCs w:val="43"/>
        </w:rPr>
      </w:pPr>
      <w:r>
        <w:rPr>
          <w:rFonts w:ascii="FZXBSJW--GB1-0" w:hAnsi="FZXBSJW--GB1-0" w:eastAsia="FZXBSJW--GB1-0" w:cs="FZXBSJW--GB1-0"/>
          <w:b w:val="0"/>
          <w:bCs w:val="0"/>
          <w:color w:val="000000"/>
          <w:sz w:val="43"/>
          <w:szCs w:val="43"/>
        </w:rPr>
        <w:t>填报申报人员有关数据注意事项</w:t>
      </w:r>
    </w:p>
    <w:p>
      <w:pPr>
        <w:numPr>
          <w:ilvl w:val="0"/>
          <w:numId w:val="1"/>
        </w:numPr>
        <w:ind w:firstLine="620" w:firstLineChars="200"/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</w:pPr>
      <w:r>
        <w:rPr>
          <w:rFonts w:ascii="黑体" w:hAnsi="宋体" w:eastAsia="黑体" w:cs="黑体"/>
          <w:b w:val="0"/>
          <w:bCs w:val="0"/>
          <w:color w:val="000000"/>
          <w:sz w:val="31"/>
          <w:szCs w:val="31"/>
        </w:rPr>
        <w:t>填报范围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202</w:t>
      </w:r>
      <w:r>
        <w:rPr>
          <w:rFonts w:hint="eastAsia" w:ascii="宋体" w:hAnsi="宋体" w:eastAsia="宋体" w:cs="宋体"/>
          <w:b w:val="0"/>
          <w:bCs w:val="0"/>
          <w:color w:val="000000"/>
          <w:sz w:val="31"/>
          <w:szCs w:val="31"/>
          <w:lang w:val="en-US" w:eastAsia="zh-CN"/>
        </w:rPr>
        <w:t>4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年度省级卫生技术职务资格高级评审委员会负责评审的主任医师、副主任医师、主任护师、副主任护师（医师不含公共卫生类别）中，有病房专业的申报人员。</w:t>
      </w:r>
    </w:p>
    <w:p>
      <w:pPr>
        <w:numPr>
          <w:ilvl w:val="0"/>
          <w:numId w:val="0"/>
        </w:numPr>
        <w:ind w:firstLine="620" w:firstLineChars="200"/>
        <w:rPr>
          <w:rFonts w:hint="eastAsia" w:ascii="宋体" w:hAnsi="宋体" w:eastAsia="仿宋_GB2312" w:cs="宋体"/>
          <w:b w:val="0"/>
          <w:bCs w:val="0"/>
          <w:color w:val="000000"/>
          <w:sz w:val="31"/>
          <w:szCs w:val="31"/>
          <w:lang w:eastAsia="zh-CN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具体专业包括：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心血管内科学、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A112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呼吸内科学、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A113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消化内科学、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A114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肾内科学、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A115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神经内科学、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A116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内分泌学、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A117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血液病学、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A118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传染病学、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A119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风湿与临床免疫学、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A121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普通外科学、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A122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骨外科学、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A123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胸心外科学、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A124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神经外科学、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A125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泌尿外科学、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A126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烧伤外科学、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A127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整形外科学、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A152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小儿外科学、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A131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妇产科学、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A132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妇科学、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A133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产科学、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A15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儿科学、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A151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小儿内科学、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A21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口腔医学、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A22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口腔内科学、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A23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口腔颌面外科学、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A24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口腔修复学、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A25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口腔正畸学、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A1A1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眼科学、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A1A2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耳鼻咽喉科学、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A17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皮肤与性病学、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A11D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肿瘤内科学、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A128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肿瘤外科学、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A129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康复医学、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A30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护理学、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A31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内科护理、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A32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外科护理、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A33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妇产科护理、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A34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儿科护理、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A35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门诊护理、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A36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社区护理、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A37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其他护理、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A38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中医护理、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A39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公卫护理、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内科学、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A11A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结核病学、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A11B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老年医学、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A14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计划生育、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A1B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精神病学、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A10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全科医学、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中医全科医学、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A52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中医内科学、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A53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中医外科学、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A54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中医妇科学、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A55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中医儿科学、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A56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中医眼科学、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A57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中医耳鼻喉科学、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A58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中医骨伤学、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A59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中西医结合骨伤学、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A5A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中医针推、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A5B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中医推拿（按摩）学、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A5C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中医针灸学、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A5D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中医皮肤与性病学、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A5E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中医肛肠科学、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A5F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中西医结合学、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A5G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中西医结合内科学、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A5H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中西医结合外科学。</w:t>
      </w:r>
    </w:p>
    <w:p>
      <w:pPr>
        <w:numPr>
          <w:ilvl w:val="0"/>
          <w:numId w:val="1"/>
        </w:numPr>
        <w:ind w:left="0" w:leftChars="0"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ascii="黑体" w:hAnsi="宋体" w:eastAsia="黑体" w:cs="黑体"/>
          <w:b w:val="0"/>
          <w:bCs w:val="0"/>
          <w:color w:val="000000"/>
          <w:sz w:val="31"/>
          <w:szCs w:val="31"/>
        </w:rPr>
        <w:t>下载填报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用人单位负责做好本单位相关人员信息填报和审核工作。请从指定网址下载《申报人员信息自然表》（可在“山东省专业技术人员管理服务平台－下载资料”页面下载），严格按照表格要求做好本单位相关人员数据准备和填写，不得改变所下载表样，填表信息必须与经单位审核后的申报系统填报信息一致。呈报部门（单位）负责收集并审核确认填表人员应填尽填、填表信息规范有效。因填表信息不全或不规范影响评价工作的，由呈报部门（单位）和用人单位负责。</w:t>
      </w:r>
    </w:p>
    <w:p>
      <w:pPr>
        <w:numPr>
          <w:ilvl w:val="0"/>
          <w:numId w:val="1"/>
        </w:numPr>
        <w:ind w:left="0" w:leftChars="0" w:firstLine="620" w:firstLineChars="200"/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</w:pPr>
      <w:r>
        <w:rPr>
          <w:rFonts w:ascii="黑体" w:hAnsi="宋体" w:eastAsia="黑体" w:cs="黑体"/>
          <w:b w:val="0"/>
          <w:bCs w:val="0"/>
          <w:color w:val="000000"/>
          <w:sz w:val="31"/>
          <w:szCs w:val="31"/>
        </w:rPr>
        <w:t>注意事项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1.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下载后的《申报人员信息自然表》，填报时不得改变表样。数据文件后缀名应为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.xlsx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（不得是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xls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文件）。如数据文件存在多个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sheet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，所准备的数据应存放于第一个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sheet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中。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1"/>
          <w:szCs w:val="31"/>
          <w:lang w:val="en-US" w:eastAsia="zh-CN"/>
        </w:rPr>
        <w:t>2.</w:t>
      </w:r>
      <w:r>
        <w:rPr>
          <w:rFonts w:ascii="楷体_GB2312" w:hAnsi="楷体_GB2312" w:eastAsia="楷体_GB2312" w:cs="楷体_GB2312"/>
          <w:b w:val="0"/>
          <w:bCs w:val="0"/>
          <w:color w:val="000000"/>
          <w:sz w:val="31"/>
          <w:szCs w:val="31"/>
        </w:rPr>
        <w:t>机构名称。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《申报人员信息自然表》中，“医疗机构名称”为保持与数据库中名称一致，不允许机构自行填写，需从下拉菜单中选择。选择时应按照“行政区划－市”“行政区划－区县”“医疗机构名称”的顺序依次选择。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3.</w:t>
      </w:r>
      <w:r>
        <w:rPr>
          <w:rFonts w:ascii="楷体_GB2312" w:hAnsi="楷体_GB2312" w:eastAsia="楷体_GB2312" w:cs="楷体_GB2312"/>
          <w:b w:val="0"/>
          <w:bCs w:val="0"/>
          <w:color w:val="000000"/>
          <w:sz w:val="31"/>
          <w:szCs w:val="31"/>
        </w:rPr>
        <w:t>日期格式。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《申报人员信息自然表》中，“出生日期”“现专业技术职务聘任时间”“提取工作量数据截止时间”三项，字段类型应为“短日期”（即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excel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中单元格格式为日期），且格式应为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YYYY/MM/DD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，不得出现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2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月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30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日，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4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月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31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日之类的非法日期。其中，“提取工作量数据截止时间”应根据当年评审政策要求填写。</w:t>
      </w:r>
    </w:p>
    <w:p>
      <w:pPr>
        <w:numPr>
          <w:ilvl w:val="0"/>
          <w:numId w:val="0"/>
        </w:numPr>
        <w:ind w:firstLine="62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4.</w:t>
      </w:r>
      <w:r>
        <w:rPr>
          <w:rFonts w:ascii="楷体_GB2312" w:hAnsi="楷体_GB2312" w:eastAsia="楷体_GB2312" w:cs="楷体_GB2312"/>
          <w:b w:val="0"/>
          <w:bCs w:val="0"/>
          <w:color w:val="000000"/>
          <w:sz w:val="31"/>
          <w:szCs w:val="31"/>
        </w:rPr>
        <w:t>申报专业。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《申报人员信息自然表》中的“申报专业”，应依据《申报专业列表》所涵盖专业，将相应专业申报人员信息进行汇总，不在列表范围内的专业，不需要提供人员信息。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5.</w:t>
      </w:r>
      <w:r>
        <w:rPr>
          <w:rFonts w:ascii="楷体_GB2312" w:hAnsi="楷体_GB2312" w:eastAsia="楷体_GB2312" w:cs="楷体_GB2312"/>
          <w:b w:val="0"/>
          <w:bCs w:val="0"/>
          <w:color w:val="000000"/>
          <w:sz w:val="31"/>
          <w:szCs w:val="31"/>
        </w:rPr>
        <w:t>科室编码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。《申报人员信息自然表》中的医师“所在科室”编码，须与其所管住院病人《病案首页数据》中的“出院科别”编码一致，且符合《医疗机构诊疗科目名录》（详见《病案首页数据》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RC023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）的范围。如某医师所在科室为脊柱外科，但其所管病人的病案首页中，“出院科别”均为“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0403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”（骨科），则在《申报人员信息自然表》中，该医师的“所在科室”也须填写为“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0403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”。建议人事部门人员与病案管理人员配合填写。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u w:val="single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u w:val="single"/>
        </w:rPr>
        <w:t>请注意，医师“所在科室”并不需要与“申报专业”进行匹配。将“所在科室”修改后，不会改变本年度申报职称的专业。</w:t>
      </w:r>
    </w:p>
    <w:p>
      <w:pPr>
        <w:numPr>
          <w:ilvl w:val="0"/>
          <w:numId w:val="0"/>
        </w:numPr>
        <w:ind w:firstLine="620" w:firstLineChars="200"/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31"/>
          <w:szCs w:val="31"/>
          <w:lang w:val="en-US" w:eastAsia="zh-CN"/>
        </w:rPr>
        <w:t>6.</w:t>
      </w:r>
      <w:r>
        <w:rPr>
          <w:rFonts w:ascii="楷体_GB2312" w:hAnsi="楷体_GB2312" w:eastAsia="楷体_GB2312" w:cs="楷体_GB2312"/>
          <w:b w:val="0"/>
          <w:bCs w:val="0"/>
          <w:color w:val="000000"/>
          <w:sz w:val="31"/>
          <w:szCs w:val="31"/>
        </w:rPr>
        <w:t>多科室/多机构工作经历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。</w:t>
      </w:r>
    </w:p>
    <w:p>
      <w:pPr>
        <w:numPr>
          <w:ilvl w:val="0"/>
          <w:numId w:val="0"/>
        </w:numPr>
        <w:ind w:leftChars="0"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有医师具有多科室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/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多机构工作</w:t>
      </w:r>
      <w:bookmarkStart w:id="0" w:name="_GoBack"/>
      <w:bookmarkEnd w:id="0"/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经历时，为保证其各科室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/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各机构病案信息被统计到，应根据其工作经历分别填写《申报人员信息自然表》。</w:t>
      </w:r>
    </w:p>
    <w:p>
      <w:pPr>
        <w:numPr>
          <w:ilvl w:val="0"/>
          <w:numId w:val="0"/>
        </w:numPr>
        <w:ind w:firstLine="620" w:firstLineChars="200"/>
        <w:rPr>
          <w:rFonts w:hint="eastAsia" w:ascii="宋体" w:hAnsi="宋体" w:eastAsia="仿宋_GB2312" w:cs="宋体"/>
          <w:b w:val="0"/>
          <w:bCs w:val="0"/>
          <w:color w:val="000000"/>
          <w:sz w:val="31"/>
          <w:szCs w:val="31"/>
          <w:u w:val="single"/>
          <w:lang w:eastAsia="zh-CN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u w:val="single"/>
        </w:rPr>
        <w:t>请注意：同一名医师，多条记录的“执业证号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  <w:u w:val="single"/>
        </w:rPr>
        <w:t>+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u w:val="single"/>
        </w:rPr>
        <w:t>姓名”应完全一致，系统以“执业证号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  <w:u w:val="single"/>
        </w:rPr>
        <w:t>+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u w:val="single"/>
        </w:rPr>
        <w:t>姓名”作为识别同一人医师的依据；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u w:val="single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u w:val="single"/>
        </w:rPr>
        <w:t>同一名医师，不同记录的“提取工作量数据截止时间”要有所不同，以便系统区分其当前任职科室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  <w:u w:val="single"/>
        </w:rPr>
        <w:t>/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u w:val="single"/>
        </w:rPr>
        <w:t>机构，并完成数据合并计算。</w:t>
      </w:r>
    </w:p>
    <w:p>
      <w:pPr>
        <w:numPr>
          <w:ilvl w:val="0"/>
          <w:numId w:val="0"/>
        </w:numPr>
        <w:ind w:firstLine="622" w:firstLineChars="200"/>
        <w:rPr>
          <w:rFonts w:hint="eastAsia" w:ascii="宋体" w:hAnsi="宋体" w:eastAsia="仿宋_GB2312" w:cs="宋体"/>
          <w:b w:val="0"/>
          <w:bCs w:val="0"/>
          <w:color w:val="000000"/>
          <w:sz w:val="31"/>
          <w:szCs w:val="31"/>
          <w:lang w:eastAsia="zh-CN"/>
        </w:rPr>
      </w:pPr>
      <w:r>
        <w:rPr>
          <w:rFonts w:ascii="仿宋_GB2312" w:hAnsi="仿宋_GB2312" w:eastAsia="仿宋_GB2312" w:cs="仿宋_GB2312"/>
          <w:b/>
          <w:bCs/>
          <w:color w:val="000000"/>
          <w:sz w:val="31"/>
          <w:szCs w:val="31"/>
        </w:rPr>
        <w:t>否则将无法合并计算，仅能体现该医师在当前机构的工作情况。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例如，某医生曾在机构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和机构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B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分别任职。机构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对应的“提取工作数据截止时间”以他在机构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的任职时间为准，如其在机构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A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任职至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2016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年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5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月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6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日，则此处填写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2016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年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5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月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6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日；机构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B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的“提取工作数据截止时间”以本年度评审政策为准，如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2022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年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6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月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30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日。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vertAlign w:val="baseline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同时，每个机构的所在科室，应与医生在该机构所管住院病人的“出院科别”保持一致。如下表所示：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456"/>
        <w:gridCol w:w="1241"/>
        <w:gridCol w:w="1766"/>
        <w:gridCol w:w="1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医疗机构名称</w:t>
            </w: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执业证号</w:t>
            </w: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所在科室</w:t>
            </w:r>
          </w:p>
        </w:tc>
        <w:tc>
          <w:tcPr>
            <w:tcW w:w="142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现专业技术职务聘任时间</w:t>
            </w:r>
          </w:p>
        </w:tc>
        <w:tc>
          <w:tcPr>
            <w:tcW w:w="142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提取工作数据截止时间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机构A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某某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12345678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0401</w:t>
            </w:r>
          </w:p>
        </w:tc>
        <w:tc>
          <w:tcPr>
            <w:tcW w:w="142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2013-07-01</w:t>
            </w:r>
          </w:p>
        </w:tc>
        <w:tc>
          <w:tcPr>
            <w:tcW w:w="1421" w:type="dxa"/>
          </w:tcPr>
          <w:p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2016-05-06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机构B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某某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12345678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0403</w:t>
            </w:r>
          </w:p>
        </w:tc>
        <w:tc>
          <w:tcPr>
            <w:tcW w:w="1421" w:type="dxa"/>
          </w:tcPr>
          <w:p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2013-07-01</w:t>
            </w:r>
          </w:p>
        </w:tc>
        <w:tc>
          <w:tcPr>
            <w:tcW w:w="1421" w:type="dxa"/>
          </w:tcPr>
          <w:p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1"/>
                <w:szCs w:val="31"/>
                <w:vertAlign w:val="baseline"/>
                <w:lang w:val="en-US" w:eastAsia="zh-CN"/>
              </w:rPr>
              <w:t>2022-06-30</w:t>
            </w:r>
          </w:p>
        </w:tc>
      </w:tr>
    </w:tbl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/>
          <w:bCs/>
          <w:color w:val="000000"/>
          <w:sz w:val="31"/>
          <w:szCs w:val="31"/>
        </w:rPr>
      </w:pPr>
      <w:r>
        <w:rPr>
          <w:rFonts w:ascii="楷体_GB2312" w:hAnsi="楷体_GB2312" w:eastAsia="楷体_GB2312" w:cs="楷体_GB2312"/>
          <w:b w:val="0"/>
          <w:bCs w:val="0"/>
          <w:color w:val="000000"/>
          <w:sz w:val="31"/>
          <w:szCs w:val="31"/>
        </w:rPr>
        <w:t>重名问题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。若同一医疗机构、同一科室有医师重名，且在本年度职称评审中申报相同专业，为分别统计其工作量，应将医师的信息在《申报人员信息自然表》中予以区分，并与《病案首页数据》中相应医师姓名对应。</w:t>
      </w:r>
      <w:r>
        <w:rPr>
          <w:rFonts w:ascii="仿宋_GB2312" w:hAnsi="仿宋_GB2312" w:eastAsia="仿宋_GB2312" w:cs="仿宋_GB2312"/>
          <w:b/>
          <w:bCs/>
          <w:color w:val="000000"/>
          <w:sz w:val="31"/>
          <w:szCs w:val="31"/>
        </w:rPr>
        <w:t>如不处理，所有重名人员都将不参与计算，无法产出相关指标。</w:t>
      </w:r>
    </w:p>
    <w:p>
      <w:pPr>
        <w:numPr>
          <w:ilvl w:val="0"/>
          <w:numId w:val="0"/>
        </w:numPr>
        <w:ind w:firstLine="620" w:firstLineChars="200"/>
        <w:rPr>
          <w:rFonts w:hint="eastAsia" w:ascii="宋体" w:hAnsi="宋体" w:eastAsia="仿宋_GB2312" w:cs="宋体"/>
          <w:b w:val="0"/>
          <w:bCs w:val="0"/>
          <w:color w:val="000000"/>
          <w:sz w:val="31"/>
          <w:szCs w:val="31"/>
          <w:lang w:eastAsia="zh-CN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如某科室有两名“张三”同时申报，可将其中一名医师在《申报人员信息自然表》中的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“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姓名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”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修改为“张三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”，并把该医师所管病人的病案数据中对应的医师姓名也修改为“张三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1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”。</w:t>
      </w:r>
    </w:p>
    <w:p>
      <w:pPr>
        <w:numPr>
          <w:ilvl w:val="0"/>
          <w:numId w:val="0"/>
        </w:numPr>
        <w:ind w:firstLine="622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u w:val="single"/>
        </w:rPr>
      </w:pPr>
      <w:r>
        <w:rPr>
          <w:rFonts w:ascii="仿宋_GB2312" w:hAnsi="仿宋_GB2312" w:eastAsia="仿宋_GB2312" w:cs="仿宋_GB2312"/>
          <w:b/>
          <w:bCs/>
          <w:color w:val="000000"/>
          <w:sz w:val="31"/>
          <w:szCs w:val="31"/>
          <w:u w:val="single"/>
        </w:rPr>
        <w:t>注意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u w:val="single"/>
        </w:rPr>
        <w:t>：为保证姓名的统一校验，修改重复姓名时务必遵循统一规则，即</w:t>
      </w:r>
      <w:r>
        <w:rPr>
          <w:rFonts w:ascii="仿宋_GB2312" w:hAnsi="仿宋_GB2312" w:eastAsia="仿宋_GB2312" w:cs="仿宋_GB2312"/>
          <w:b/>
          <w:bCs/>
          <w:color w:val="000000"/>
          <w:sz w:val="31"/>
          <w:szCs w:val="31"/>
          <w:u w:val="single"/>
        </w:rPr>
        <w:t>姓名</w:t>
      </w:r>
      <w:r>
        <w:rPr>
          <w:rFonts w:ascii="宋体" w:hAnsi="宋体" w:eastAsia="宋体" w:cs="宋体"/>
          <w:b/>
          <w:bCs/>
          <w:color w:val="000000"/>
          <w:sz w:val="31"/>
          <w:szCs w:val="31"/>
          <w:u w:val="single"/>
        </w:rPr>
        <w:t>+</w:t>
      </w:r>
      <w:r>
        <w:rPr>
          <w:rFonts w:ascii="仿宋_GB2312" w:hAnsi="仿宋_GB2312" w:eastAsia="仿宋_GB2312" w:cs="仿宋_GB2312"/>
          <w:b/>
          <w:bCs/>
          <w:color w:val="000000"/>
          <w:sz w:val="31"/>
          <w:szCs w:val="31"/>
          <w:u w:val="single"/>
        </w:rPr>
        <w:t>数字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  <w:u w:val="single"/>
        </w:rPr>
        <w:t>。</w:t>
      </w:r>
    </w:p>
    <w:p>
      <w:pPr>
        <w:numPr>
          <w:ilvl w:val="0"/>
          <w:numId w:val="1"/>
        </w:numPr>
        <w:ind w:left="0" w:leftChars="0" w:firstLine="620" w:firstLineChars="200"/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</w:pPr>
      <w:r>
        <w:rPr>
          <w:rFonts w:ascii="黑体" w:hAnsi="宋体" w:eastAsia="黑体" w:cs="黑体"/>
          <w:b w:val="0"/>
          <w:bCs w:val="0"/>
          <w:color w:val="000000"/>
          <w:sz w:val="31"/>
          <w:szCs w:val="31"/>
        </w:rPr>
        <w:t>病案首页数据获取渠道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医院相关专业申报人员的病案首页数据，统一从山东省病案首页采集与住院分析系统提取。基层医疗卫生机构和委托评审的驻鲁部队医院等，可在“山东省专业技术人员管理服务平台－下载资料”处下载《病案首页数据（样表）》《临床工作数据提取系统（机构版）》，据实填报并自行通过校验后，加密逐级专人报送电子版。</w:t>
      </w:r>
    </w:p>
    <w:p>
      <w:pPr>
        <w:numPr>
          <w:ilvl w:val="0"/>
          <w:numId w:val="0"/>
        </w:numPr>
        <w:ind w:firstLine="620" w:firstLineChars="200"/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各呈报部门（单位）于</w:t>
      </w:r>
      <w:r>
        <w:rPr>
          <w:rFonts w:ascii="宋体" w:hAnsi="宋体" w:eastAsia="宋体" w:cs="宋体"/>
          <w:b w:val="0"/>
          <w:bCs w:val="0"/>
          <w:color w:val="000000"/>
          <w:sz w:val="31"/>
          <w:szCs w:val="31"/>
        </w:rPr>
        <w:t>10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25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日前将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各县（市、区）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、本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部门（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）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的《申报人员信息自然表》和《病案首页数据》（“姓名+所在单位+身份证号”命名）等材料报送（不得寄送或发送电子版）至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市卫生健康委906室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，逾期不再受理。材料报送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电话：0635-8510598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；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技术支持电话：0531-51765933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，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51765940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ZXBSJW--GB1-0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97EC41"/>
    <w:multiLevelType w:val="singleLevel"/>
    <w:tmpl w:val="1397EC4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4OWY2ZDA4YmZiZGI1NTE2MGQxY2Y5NDk5YzY1NzYifQ=="/>
  </w:docVars>
  <w:rsids>
    <w:rsidRoot w:val="00000000"/>
    <w:rsid w:val="193F522E"/>
    <w:rsid w:val="2BDF5E73"/>
    <w:rsid w:val="3B64D780"/>
    <w:rsid w:val="532FD333"/>
    <w:rsid w:val="5DE77AFF"/>
    <w:rsid w:val="5F9D5D76"/>
    <w:rsid w:val="5FCE3C91"/>
    <w:rsid w:val="5FE70ECE"/>
    <w:rsid w:val="6FFF2D80"/>
    <w:rsid w:val="73F7B8CE"/>
    <w:rsid w:val="75FBEABC"/>
    <w:rsid w:val="76F777F8"/>
    <w:rsid w:val="783D23FD"/>
    <w:rsid w:val="7B673167"/>
    <w:rsid w:val="7BFFFAC7"/>
    <w:rsid w:val="7DCF8222"/>
    <w:rsid w:val="7DFEE702"/>
    <w:rsid w:val="7DFFB350"/>
    <w:rsid w:val="7F7F053B"/>
    <w:rsid w:val="7FB7BE96"/>
    <w:rsid w:val="7FFD19FA"/>
    <w:rsid w:val="BB6E93D9"/>
    <w:rsid w:val="BDB7E5E3"/>
    <w:rsid w:val="BDCE93EA"/>
    <w:rsid w:val="BFBFEEB7"/>
    <w:rsid w:val="BFDBDBEA"/>
    <w:rsid w:val="DF7B647F"/>
    <w:rsid w:val="DFFF48FD"/>
    <w:rsid w:val="EFEFECAD"/>
    <w:rsid w:val="F7F55DEE"/>
    <w:rsid w:val="FDDBAC66"/>
    <w:rsid w:val="FF7E8A3A"/>
    <w:rsid w:val="FFF59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2353</Words>
  <Characters>2659</Characters>
  <Lines>0</Lines>
  <Paragraphs>0</Paragraphs>
  <TotalTime>23</TotalTime>
  <ScaleCrop>false</ScaleCrop>
  <LinksUpToDate>false</LinksUpToDate>
  <CharactersWithSpaces>2853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2024-09-12T09:54:00Z</dcterms:created>
  <dc:creator>LENOVO</dc:creator>
  <cp:lastModifiedBy>user</cp:lastModifiedBy>
  <dcterms:modified xsi:type="dcterms:W3CDTF">2024-09-13T18:20:36Z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C178ECE507A548BF903AB9578EE5DB35_12</vt:lpwstr>
  </property>
</Properties>
</file>