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2026年医师资格考试考生报名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资格审核确认</w:t>
      </w: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登记表</w:t>
      </w:r>
    </w:p>
    <w:p>
      <w:pPr>
        <w:rPr>
          <w:rFonts w:hint="default" w:eastAsiaTheme="minorEastAsia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单位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名称</w:t>
      </w:r>
      <w:r>
        <w:rPr>
          <w:rFonts w:hint="eastAsia" w:ascii="仿宋" w:hAnsi="仿宋" w:eastAsia="仿宋"/>
          <w:sz w:val="30"/>
          <w:szCs w:val="30"/>
        </w:rPr>
        <w:t xml:space="preserve">（公章）：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单位初审负责</w:t>
      </w:r>
      <w:r>
        <w:rPr>
          <w:rFonts w:hint="eastAsia" w:ascii="仿宋" w:hAnsi="仿宋" w:eastAsia="仿宋"/>
          <w:sz w:val="30"/>
          <w:szCs w:val="30"/>
        </w:rPr>
        <w:t>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及联系电话</w:t>
      </w:r>
      <w:r>
        <w:rPr>
          <w:rFonts w:hint="eastAsia" w:ascii="仿宋" w:hAnsi="仿宋" w:eastAsia="仿宋"/>
          <w:sz w:val="30"/>
          <w:szCs w:val="30"/>
        </w:rPr>
        <w:t xml:space="preserve">：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0"/>
          <w:szCs w:val="30"/>
        </w:rPr>
        <w:t>填表日期：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日</w:t>
      </w:r>
    </w:p>
    <w:tbl>
      <w:tblPr>
        <w:tblStyle w:val="6"/>
        <w:tblW w:w="14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37"/>
        <w:gridCol w:w="1605"/>
        <w:gridCol w:w="952"/>
        <w:gridCol w:w="745"/>
        <w:gridCol w:w="928"/>
        <w:gridCol w:w="1648"/>
        <w:gridCol w:w="3210"/>
        <w:gridCol w:w="1199"/>
        <w:gridCol w:w="1480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所在科室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是否以成教学历报考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是否为“非云南省2019-2025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年资格审核通过以中专学历报考”考生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单位初审是否通过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7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52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2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请填写“是”或者“否”</w:t>
            </w:r>
          </w:p>
        </w:tc>
        <w:tc>
          <w:tcPr>
            <w:tcW w:w="321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请填写“是”或者“否”</w:t>
            </w:r>
          </w:p>
        </w:tc>
        <w:tc>
          <w:tcPr>
            <w:tcW w:w="1199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请填写“是”或者“否”</w:t>
            </w:r>
          </w:p>
        </w:tc>
        <w:tc>
          <w:tcPr>
            <w:tcW w:w="148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7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52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2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7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52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2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7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52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2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7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52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2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5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备注：1.填写学历信息时严格按照毕业证书所显示内容填写，请勿自行添加或删减；</w:t>
      </w:r>
    </w:p>
    <w:p>
      <w:pPr>
        <w:numPr>
          <w:ilvl w:val="0"/>
          <w:numId w:val="0"/>
        </w:numPr>
        <w:ind w:firstLine="720" w:firstLineChars="3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该表提交至区（县）报名审核点，电子版制作为Excel表格一并提交。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52"/>
    <w:family w:val="moder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小米兰亭_GB外压缩">
    <w:altName w:val="宋体"/>
    <w:panose1 w:val="03000502000000000000"/>
    <w:charset w:val="86"/>
    <w:family w:val="script"/>
    <w:pitch w:val="default"/>
    <w:sig w:usb0="00000000" w:usb1="00000000" w:usb2="00000036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52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2ZjEzMTJmZDM0ZjE4OGFjMWJjNDMwMDdjYmQ0ZmUifQ=="/>
  </w:docVars>
  <w:rsids>
    <w:rsidRoot w:val="00000000"/>
    <w:rsid w:val="00A12A34"/>
    <w:rsid w:val="02FE5DAB"/>
    <w:rsid w:val="05BA09E0"/>
    <w:rsid w:val="0FBF47BF"/>
    <w:rsid w:val="118A7C68"/>
    <w:rsid w:val="126F5737"/>
    <w:rsid w:val="1B4C6E01"/>
    <w:rsid w:val="1F067D74"/>
    <w:rsid w:val="28D12CC4"/>
    <w:rsid w:val="2C742B50"/>
    <w:rsid w:val="34AF177A"/>
    <w:rsid w:val="3A763804"/>
    <w:rsid w:val="3B412B74"/>
    <w:rsid w:val="3E875D7F"/>
    <w:rsid w:val="41F35569"/>
    <w:rsid w:val="44CD3E3E"/>
    <w:rsid w:val="4582384A"/>
    <w:rsid w:val="481C72D8"/>
    <w:rsid w:val="4FC24DE4"/>
    <w:rsid w:val="60D616CD"/>
    <w:rsid w:val="642B5B5A"/>
    <w:rsid w:val="6AEE6D99"/>
    <w:rsid w:val="6B407AD2"/>
    <w:rsid w:val="71B3032D"/>
    <w:rsid w:val="761849F3"/>
    <w:rsid w:val="79290140"/>
    <w:rsid w:val="7B1755CC"/>
    <w:rsid w:val="7B9A37B1"/>
    <w:rsid w:val="7E7322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color w:val="000000"/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2023-02-06T08:11:00Z</dcterms:created>
  <dc:creator>HP</dc:creator>
  <cp:lastModifiedBy>Administrator</cp:lastModifiedBy>
  <dcterms:modified xsi:type="dcterms:W3CDTF">2026-01-29T03:14:56Z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8DA1A08AFA8445F3A6A2ACBA29647496</vt:lpwstr>
  </property>
</Properties>
</file>