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/>
          <w:szCs w:val="21"/>
        </w:rPr>
      </w:pPr>
      <w:bookmarkStart w:id="0" w:name="_GoBack"/>
      <w:bookmarkEnd w:id="0"/>
      <w:r>
        <w:rPr>
          <w:rFonts w:hint="eastAsia" w:ascii="宋体" w:hAnsi="宋体"/>
          <w:szCs w:val="21"/>
        </w:rPr>
        <w:t>口腔医师资格考试</w:t>
      </w:r>
    </w:p>
    <w:p>
      <w:pPr>
        <w:jc w:val="center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——人文三项+免疫</w:t>
      </w:r>
    </w:p>
    <w:p>
      <w:pPr>
        <w:jc w:val="center"/>
        <w:rPr>
          <w:rFonts w:hint="eastAsia" w:ascii="宋体" w:hAnsi="宋体"/>
          <w:szCs w:val="21"/>
        </w:rPr>
      </w:pPr>
      <w:r>
        <w:rPr>
          <w:rFonts w:hint="eastAsia" w:ascii="宋体" w:hAnsi="宋体"/>
          <w:bCs/>
          <w:szCs w:val="21"/>
        </w:rPr>
        <w:t>主讲：赵乐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【例题】免疫系统的三大功能为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A.免疫防御、免疫应答、免疫记忆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B.免疫应答、免疫记忆、免疫监视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C.免疫防御、免疫记忆、免疫监视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D.免疫防御、免疫自稳、免疫监视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E.免疫应答、免疫自稳、免疫监视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2.A.速发型超敏反应　　　　B.细胞毒型超敏反应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C.免疫复合物型　　　　　　D.迟发型超敏反应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E.适应型超敏反应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&lt;1&gt;Ⅰ型超敏反应又称为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&lt;2&gt;Ⅱ型超敏反应又称为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&lt;3&gt;Ⅲ型超敏反应又称为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&lt;4&gt;Ⅳ型超敏反应又称为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，B，C，D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【例题】3.在免疫应答中，巨噬细胞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A.产生抗体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B.表达TCR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C.产生细胞因子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D.表达CD3分子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E.发生基因重排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【例题】4.应用肿瘤疫苗对肿瘤进行预防的方法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A.主动免疫治疗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B.被动免疫治疗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C.非特异性免疫治疗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D.特异性免疫治疗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E.以上说法均正确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【例题】5.关于免疫细胞和膜分子，错误的组合是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A.辅助性T细胞——CD4抗原阳性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B.单核吞喵细胞——MHC－II类抗原阳性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C.细胞毒性T细胞——CD8抗原阳性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D.NK细胞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E.人红细胞——MHC－I类抗原阴性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【例题】6.可通过ADCC作用介导细胞毒作用的细胞是</w:t>
      </w:r>
      <w:r>
        <w:rPr>
          <w:rFonts w:hint="eastAsia" w:ascii="宋体" w:hAnsi="宋体"/>
          <w:szCs w:val="21"/>
        </w:rPr>
        <w:tab/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A.浆细胞</w:t>
      </w:r>
    </w:p>
    <w:p>
      <w:pPr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B.CTL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C.B细胞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D.NK细胞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E.肥大细胞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【例题】7.发生在移植后数周、数月至数年的排斥反应称为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A.急性排斥反应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B.超急性排斥反应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C.慢性排斥反应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D.超慢性排斥反应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E.排斥反应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【例题】（1－2共用备选答案）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8.A.皮肤迟发型超敏反应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B.血清谷丙转氨酶测定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C.血清免疫球蛋白测定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D.血清p微球蛋白测定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E.硝基四哇氮蓝还原试验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&lt;1&gt;体液免疫测定是指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&lt;2&gt;细胞免疫测定是指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，A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【例题】9.免疫组化的目的是</w:t>
      </w:r>
      <w:bookmarkStart w:id="1" w:name="_GoBack"/>
      <w:bookmarkEnd w:id="1"/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A.抗原显色检测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B.标记的特异性抗体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C.抗体显色检测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D.对细胞中的抗原进行定位、定性检测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E.抗原或血清抗体的定量检测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10.细胞因子不包括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A.干扰素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B.肿瘤坏死因子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C.过敏毒素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D.血管内皮生长因子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E.IL－2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【例题】11.流感、甲型肝炎、乙型脑炎疫苗属于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A.灭活疫苗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B.减毒活疫苗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C.类毒素疫苗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D.亚单位疫苗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E.偶联疫苗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【例题】12.与强直性脊柱炎密切相关的HLA分子是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A.HLA－A5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B.HLA－B5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C.HLA－B7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D.HLA－B27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E.HLA－DR3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【例题】13.通过诱导免疫耐受可用于治疗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A.慢性细菌感染性疾病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B.病毒的持续性感染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C.自身免疫病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D.免疫缺陷病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E.恶性肿瘤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【例题】14.属于I型超敏反应的是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A.血清病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B.过敏性休克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C.免疫复合物性肾小球肾炎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D.类风湿关节炎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E.感染性迟发型超敏反应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【例题】15.属于IV型超敏反应的特性，正确的是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A.由抗体介导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B.发生进程迅速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C.有单个核细胞浸润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D.需激活补体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E.—般不引起炎性坏死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【例题】16.主要由自身反应性T细胞介导的自身免疫病是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A.肺出血肾炎综合征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B.桥本甲状腺炎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C.免疫性血小板减少性紫癜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D.重症肌无力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E.胰岛素依赖性糖尿病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【例题】17.下列哪项试验不是凝集试验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A.瑞特试验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B.ABO血型鉴定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C.肥达试验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D.菌种鉴定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E.免疫印迹试验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【例题】18.面对同样的社会应激，有人难以适应而得病，有人很快渡过难关。医学心理学解释此现象的基本观点为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A.社会影响的观点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B.情绪作用的观点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C.个性特征的观点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D.心身统一的观点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E.主动凋节的观点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【例题】19.知觉是人脑对客观事物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A.个别属性的反映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B.整体属性的反映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C.本质属性的反映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D.特殊属性的反映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E.发展属性的反映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【例题】20.思维是属于心理活动的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A.意志过程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B.认知过程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C.情感过程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D.人格倾向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E.人格特征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【例题】21.通过感觉、知觉、记忆等进行的活动称为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A.意志过程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B.人格倾向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C.情感过程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D.人格特征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E.认知过程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【例题】22.小儿自己想要做的事情要“我自己做”，常常不愿意成人帮忙。属于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A.婴儿期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B.学龄期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C.第一反抗期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D.第二反抗期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E.智力关键期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【例题】23.马斯洛的需要层次理论中，处于最高层次的需要是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A.爱和归属的需要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B.生理的需要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C.尊重的需要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D.安全的需要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E.自我实现的需要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【例题】23.马斯洛的需要层次理论中，处于最高层次的需要是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A.爱和归属的需要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B.生理的需要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C.尊重的需要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D.安全的需要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E.自我实现的需要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【例题】24.既想参赛锻炼自己，又怕成绩不好被人讥笑，此时的动机冲突是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A.双趋冲突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B.双避冲突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C.趋避冲突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D.双重趋避冲突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E.双重避趋冲突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【例题】25.胆汁质气质的人，其高级神经活动类型属于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A.强、均衡而灵活的活泼型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B.强、均衡而不灵活的安静型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C.强、不均衡而灵活的兴奋型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D.弱、不均衡、不灵活的抑制型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E.弱、均衡、灵活的灵活型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【例题】26.心理咨询的基本过程除外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A.问题探索阶段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B.分析认识阶段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C.临床检查阶段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D.治疗行动阶段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E.结束巩固阶段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【例题】27.以下关于主动－被动型医患关系的描述中正确的是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A.医生是主动的，处权威地位，病人完全按医生的要求去做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B.患者能充分发挥自己的主观能动性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C.患者在医师指导下自己治疗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D.医生的作用占优势，同时有限度地调动病人的主动性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E.患者与医师有同等权力和主动性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【例题】28.A型行为性格与下列哪项疾病有关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A.溃疡病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B.风心病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C.冠心病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D.癌症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E.神经症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【例题】29.为了了解被检者的思维品质，检查者使用了填词测验，这种测验方法属于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A.投射法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B.问卷法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C.作业法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D.操作法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E.以上都不是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【例题】30.不属于心理健康的典型表现是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A.情绪良好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B.人际和谐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C.智力正常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D.人格完美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E.适应环境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【例题】31.内科的心身疾病一般不包括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A.冠心病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B.高血压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C.支气管哮喘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D.肺结核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E.消化性溃疡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【例题】32.常用的心理评估方法不包括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A.观察法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B.调査法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C.实验法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D.会谈法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E.测验法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【例题】33.患者虽躯体疾病已康复，但患者的依赖性加强，安心于已适应的患者生活模式，不愿返回原来的工作环境，这属于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A.角色行为适应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B.角色行为缺如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C.角色行为强化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D.角色行为减退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E.角色行为异常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【例题】34.心理测验工作应遵守的原则为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A.真诚、中立、回避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B.自强、自立、自省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C.信度、效度、常模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D.客观、保密、标准化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E.自主、学习、实效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【例题】35.—个测验工具中对于对象可以测量到的真实程度，是指该工具的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A.常模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B.信度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C.效度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D.样本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E.标准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【例题】36.潜意识又称无意识，在人的心理活动中一般处于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A.警觉状态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B.缓冲状态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C.知觉状态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D.清晰状态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E.压抑状态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【例题】37.“救死扶伤”一词最早出自于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A.《希波克拉底》誓言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B.《报任少卿书》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C.《黄帝内经》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D.《大医精诚》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E.《伤寒杂病论》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【例题】38.临床急救的伦理要求中错误的是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A.争分夺秒的抢救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B.争名利，冒险蛮干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C.承担风险，团结协作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D.满腔热情，重视心理治疗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E.全面考虑，维护社会公益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【例题】39.世界上第一个将安乐死合法化的国家是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A.荷兰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B.美国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C.比利时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D.丹麦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E.澳大利亚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40.男，46岁，投资顾问。因社交焦虑接受心理治疗，在心理冶疗师的帮助下焦虑明显改善了患者心存感激，欲将掌握的投资信息告知心理治疗师以作报答，但被婉言谢绝。在此治疗关系中，该心理治疗师遵循的原则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A.保密性　　　　B.正式性　　　　C.单向性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D.时限性　　　　E.系统性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【例题】41.下列不属于心理治疗原则的是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A.正义原则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B.“中立”原则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C.真诚原则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D.保密原则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E.回避原则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【例题】42.某心理治疗师的母亲出现了心理问题，其妹妹想让他给母亲进行心理治疗，但他却将母亲转给其他心理治疗师进行治疗。该心理治疗师遵循的心理治疗的原则是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A.保密原则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B.真诚原则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C.中立原则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D.回避原则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E.系统原则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【例题】43.患者被诊断患病时否认自己得病，难以进入患者角色的情形称为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A.角色行为强化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B.角色行为冲突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C.角色行为减退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D.角色行为异常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E.角色行为缺如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【例题】44.不符合我国人类精子库管理伦理原则要求的是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A.捐精者有权随时停止捐精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B.捐精行为应完全自愿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C.捐精者有权知道捐精的用途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D.禁止同一捐精者的精子使5名以上妇女受孕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E.捐精者应与精子库的医务人员保持互盲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【例题】45.提出以“最大多数人的最大幸福”作为道德判断准则的学者是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A.边沁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B.密尔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C.苏格拉底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D.亚里士多德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E.康德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【例题】46.医学伦理学的特征之一是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A.灵活性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B.实践性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C.集体性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D.组织性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E.随机性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【例题】47.无行为能力的患者，由其家属代理履行知情同意，符合的原则是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A.尊重原则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B.有利原则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C.不伤害原则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D.公益原则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E.公正原则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【例题】（1－3题共用备选答案）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48.A.医师检査病人时，由于消毒观念不强，造成交叉感染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B.医师满足病人的一切保密要求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C.妊娠危及母亲生命时，医师给予引产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D.医生对病人的呼叫或提问置之不理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E.医师的行为使某个病人受益，但却损害了别的病人的利益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&lt;1&gt;属于医师违背不伤害原则的是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&lt;2&gt;属于医师违背有利原则的是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&lt;3&gt;属于医师违背尊重原则的是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，E，B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【例题】（1－2题共用备选答案）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49.A.知情同意原则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B.保守秘密原则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C.互相协作原则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D.诚实原则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E.公正原则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&lt;1&gt;临床诊疗或开展以人为研究对象的医学研究时，首先应坚持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&lt;2&gt;“人人享有卫生保健”是贯彻了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，E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【例题】50.医患之间的道德关系是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A.主从关系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B.商品关系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C.信托关系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D.陌生关系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E.私人关系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51.女，30岁，因出现类似早孕症状两次到某县医院门诊就医，大夫简单检查后均诊断为妇科炎症，但该女士服药多日症状未见缓解。半个月后，因突然阴道矢出血和急腹症被送往医院抢救后确诊为宫外孕。该案例中，初诊医生可能违背的临床诊疗伦理要求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A.关心体贴，减少痛苦　　　　B.全面系统，认真细致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C.耐心倾听，正确引导　　　　D.尊重病人，心正无私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E.举止端庄，态度热情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【例题】52.《执业医师法》明确规定，医师在执业过程中应当履行的职责是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A.以病人为中心，实行人道主义精神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B.防病治病，救死扶伤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C.遵守职业道德，保护患者隐私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D.树立敬业精神，尽职尽责为患者服务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E.防病治病，救死扶伤，保护人民健康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【例题】（1－2题共用备选答案）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53.A.3年B.5年C.1年D.4年E.2年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&lt;1&gt;取得执业助理医师执业证书后，具有高等学校医学专科学历的，可以在医疗、预防、保健机构中工作满一定年限后报考执业医师资格考试，该年限是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&lt;2&gt;具有高等学校医学专业本科以上学历，报考执业医师资格考试的，需要在医疗、预防、保健机构中试用期满一定年限，该年限是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，C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【例题】54.医师在执业活动中享有的权利之一是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A.宣传普及卫生保健知识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B.尊重患者隐私权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C.人格尊严、人身安全不受侵犯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D.努力钻研业务，及时更新知识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E.爱岗敬业，努力工作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【例题】55.《执业医师法》规定对考核不合格的医师，卫生行政部门可以责令其暂停执业活动，并接受培训和继续医学教育。暂停期限是3个月至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A.5个月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B.6个月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C.7个月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D.8个月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E.9个月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【例题】（1－2题共用备选答案）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56.A.暂停执业活动3~6个月　　B.暂停执业活动6个月~1年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C.给予行政处分　　　　　D.吊销医师执业证书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E.追究刑事责任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&lt;1&gt;未经患者或者其家属同意，对患者进行实验性治疗的，由卫生行政部门给予的处理是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&lt;2&gt;不按规定使用麻醉药品、精神药物，情节严重的，由卫生行政部门给予的处理是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，D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【例题】57.任何单位或者个人开展诊疗活动，必须依法取得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A.《设置医疗机构批准书》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B.《设置医疗机构备案回执》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C.《医疗机构执业许可证》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D.《医疗机构校验申请书》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E.《医疗机构申请变更登记注册书》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【例题】58.某大型企业计划在自然疫源地兴建旅游建设项目，在征询意见时，有专家提醒，根据《传染病防治法》规定，应当事先由法定单位对该项目施工环境进行卫生调查。该法定单位是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A.省级以上环境监测评价机构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B.省级以上疾病预防控制机构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C.国务院卫生行政主管部门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D.省级以上环境保护主管部门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E.省级以上旅游主管部门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【例题】59.医疗机构发现发生或者可能发生传染病暴发流行时，应当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A.在1小时内向所在地县级人民政府卫生行政主管部门报告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B.在2小时内向所在地县级人民政府卫生行政主管部门报告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C.在4小时内向所在地县级人民政府卫生行政主管部门报告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D.在6小时内向所在地县级人民政府卫生行政主管部门报告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E.在8小时内向所在地县级人民政府卫生行政主管部门报告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【例题】60.我国艾滋病防治工作坚持的方针是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A.预防为主，防治结合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B.政府领导，全社会共同参与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C.宣传教育，行为干预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D.行为干预，关怀救助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E.统一协调，综合防治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【例题】61.“献血大王”刘某，在过去的7年间，献血总量已达5600ml。快满50周岁的刘某告诉记者，如果身体一直保持健康状态，他满55周岁以前，还可争取无偿献血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A.7次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B.8次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C.9次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D.10次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E.11次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【例题】62.对于长期慢性病人，宜采取的医患关系模式是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A.主动－被动型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B.被动－主动型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C.指导－合作型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D.共同参与型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E.合作－指导型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63.男，70岁。因腹主动脉瘤在某市级医院接受手术治疗，术中发生大出血，经抢救无效死亡。其子女要求复印患者在该医院的全部病历资料，而院方只同意复印其中一部分。根据《医疗事故处理条例》规定，其子女有权复印的病历资料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A.疑难病例讨论记录　　　　B.上级医师査房记录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C.死亡病例讨论记录　　　　D.会诊意见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E.手术及麻醉记录单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【例题】64.因抢救急危患者，未能及时书写病历的，有关医务人员应当在抢救结束后据实补记，并加以注明，其时限是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A.2小时内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B.4小时内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C.6小时内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D.8小时内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E.12小时内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【例题】65.医师在执业活动中违反技术操作规范，造成严重后果的，给予警告或者责令暂停执业活动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A.3个月至6个月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B.6个月至1年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C.6个月至1年半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D.1年至1年半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E.1年至2年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【例题】（1－2题共用备选答案）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66.A.24小时内　　B.48小时内　　C.15日内　　D.30日内　　E.45日内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&lt;1&gt;凡发生医疗事故或事件，临床诊断不能明确死亡原因的，病人死亡后对其进行尸解的期限要求是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&lt;2&gt;对医疗事故技术鉴定委员会所作的结论不服的，病员及其家属和医疗单位在接到结论之日起，可以申请重新鉴定的期限要求是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，C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【例题】67.内科医师王某，在春节探家的火车上遇到一位产妇临产，因车上无其他医务人员，王某遂协助产妇分娩。在分娩过程中，因牵拉过度，导致新生儿左上肢臂丛神经损伤。王某行为的性质为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A.属于违规操作，构成医疗事故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B.属于非法行医，不属医疗事故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C.属于超范围执业，构成医疗事故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D.属于见义勇为，不构成医疗事故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E.虽造成不良后果，但不属医疗事故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【例题】68.《传染病防治法》规定，国家对传染病实行的方针与管理办法是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A.预防为主，防治结合，统一管理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B.预防为主，防治结合，分类管理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C.预防为主，防治结合，划区管理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D.预防为主，防治结合，分片管理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E.预防为主，防治结合，层级管理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【例题】69.注册主管部门应当自收到变更注册申请之日起（）内办理变更注册手续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A.7天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B.14天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C.30天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D.60天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E.半年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【例题】70.国家对传染病菌种、毒种的采集、保藏、携带、运输和使用实行的管理方式是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A.分层管理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B.行业管理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C.分类管理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D.集中管理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E.专项管理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【例题】71.医疗纠纷的解决途径不包括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A.双方自愿协商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B.申请人民调解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C.申请行政调解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D.向人民法院提起诉讼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E.有关病历资料、现场实物封存和启封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【例题】72.对流动人口中的传染性非典型肺炎病人、疑似病人处理的原则是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A.就地控制、就地治疗、就地康复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B.就地隔离、就地治疗、就地康复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C.就地控制、就地观察、就地治疗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D.就地隔离、就地观察、就地治疗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E.就地观察、就地治疗、就地康复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【例题】73.医师张某给一患者开具了处方，患者取药时，药剂师指出该处方不符合相关规定不予调配。其理由是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A.该处方使用了药品通用名称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B.该处方同时开具了中成药和西药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C.该处方开具了5种药物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D.该处方注明了5天有效期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E.该处方开具了7天药物用量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【例题】74.下列关于假药的情形叙述正确的是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A.变质的药品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B.被污染的药品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C.国务院药品监督管理部门规定禁止使用的药品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D.所标明的适应证或者功能主治超出规定范围的药品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E.以上均是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【例题】75.依据《精神卫生法》，给予吊销精神科医师执业证书处罚的情形是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A.拒绝对送诊的疑似精神障碍患者作出诊断的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B.精神障碍患者对再次诊断结论有异议的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C.未及时对有伤害自身危险的患者进行检查评估的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D.对实施住院治疗的患者未根据评估结果作出处理的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E.故意将非精神障碍患者诊断为精神障碍患者的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【例题】76.麻醉药品处方的保存时间至少是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A.5年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B.1年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C.3年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D.4年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E.2年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【例题】77.对患者死因有异议的，应在48小时内进行尸检，具备冷冻条件的可以延长至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A.3天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B.4天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C.5天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D.6天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E.7天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【例题】78.医疗机构临床用血应当制定用血计划，遵循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A.公平、公正的原则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B.慎用、节约的原则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C.准确、慎用的原则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D.合理、科学的原则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E.勤查、深究的原则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【例题】79.医疗机构应当对出现超常处方3次以上且无正当理由的医师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A.提出警告，限制处方权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B.责令暂停执业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C.吊销执业证书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D.取消处方权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E.现金处罚以示警告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【例题】80.医师为同一个患者申请一天备血达到或超过一定数量时，必须报医院医务部门批准。该血量是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A.1600毫升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B.1400毫升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C.800毫升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D.1000毫升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E.1200毫升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【例题】81.A.1天　　B.3天　　C.7天　　D.10天　　E.15天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&lt;1&gt;处方一般不得超过几日用量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&lt;2&gt;急诊处方一般不得超过几日用量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&lt;3&gt;第二类精神药品一般每张处方不得超过几日常用量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&lt;4&gt;住院患者开具的麻醉药品和第一类精神药品处方应当逐日开具，每张处方为几日常用量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，B，C，A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【例题】（1~3题共用题干）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82.女，18岁。近几个月来常因琐事与父母发生激烈争吵，闷闷不乐，被诊断为抑郁症而入院治疗。两周后，其父母去探视，患者起初表现出既想见又不想见的矛盾心理，但最终还是决定拒绝见其父母。医生根据病情同意了患者的决定。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&lt;1&gt;该患者起初的心理状态属于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A.双重趋避冲突　B.趋避冲突　C.回避冲突　D.双避冲突E.双趋冲突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【例题】&lt;2&gt;是否允许患者父母探视应首先遵循的伦理原则是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A.协同一致原则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B.患者家属自主原则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C.患者利益至上原则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D.公正原则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E.公益原则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【例题】&lt;3&gt;根据《精神卫生法》，医生可以限制患者父母会见患者的理由是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A.医疗机构尚未作出再次诊断结论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B.未取得医疗机构负责人同意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C.为了避免妨碍治疗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D.患者父母要求见面的理由不充分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E.未取得当地卫生计生行政部门批准</w:t>
      </w:r>
    </w:p>
    <w:p>
      <w:pPr>
        <w:rPr>
          <w:rFonts w:hint="eastAsia" w:ascii="宋体" w:hAnsi="宋体" w:eastAsia="宋体"/>
          <w:szCs w:val="21"/>
          <w:lang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【例题】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83.A.≤500ml　　　　B.＜800ml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C.＜1000ml　　　　　D.≥1600ml　　　　E.≤2000ml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&lt;1&gt;《医疗机构临床用血管理办法》规定，需要中级以上资格医师提出申请，上级医师核准签发的用血量限定范围是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&lt;2&gt;《医疗机构临床用血管理办法》规定，需要中级以上资格医师提出申请，科室主任核准签发，且医务部门批准的用血量限定范围是</w:t>
      </w:r>
    </w:p>
    <w:p>
      <w:pPr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，D</w:t>
      </w:r>
    </w:p>
    <w:sectPr>
      <w:headerReference r:id="rId5" w:type="first"/>
      <w:headerReference r:id="rId3" w:type="default"/>
      <w:headerReference r:id="rId4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drawing>
        <wp:anchor distT="0" distB="0" distL="114300" distR="114300" simplePos="0" relativeHeight="251661312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1877675" cy="15144750"/>
          <wp:effectExtent l="0" t="0" r="9525" b="0"/>
          <wp:wrapNone/>
          <wp:docPr id="4" name="WordPictureWatermark4892673" descr="lALPGpqNanzobpHNDGzNCb4_2494_31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WordPictureWatermark4892673" descr="lALPGpqNanzobpHNDGzNCb4_2494_3180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877675" cy="151447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rPr>
        <w:lang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1877675" cy="15145385"/>
          <wp:effectExtent l="0" t="0" r="9525" b="18415"/>
          <wp:wrapNone/>
          <wp:docPr id="1" name="WordPictureWatermark15261" descr="lALPGpqNanzobpHNDGzNCb4_2494_31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5261" descr="lALPGpqNanzobpHNDGzNCb4_2494_3180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877675" cy="1514538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rPr>
        <w:rFonts w:ascii="宋体" w:hAnsi="宋体" w:cs="宋体"/>
        <w:sz w:val="24"/>
        <w:szCs w:val="24"/>
        <w:lang/>
      </w:rPr>
      <w:drawing>
        <wp:inline distT="0" distB="0" distL="114300" distR="114300">
          <wp:extent cx="1590675" cy="419100"/>
          <wp:effectExtent l="0" t="0" r="9525" b="0"/>
          <wp:docPr id="5" name="图片 1" descr="IMG_2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图片 1" descr="IMG_256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590675" cy="41910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  <w:r>
      <w:rPr>
        <w:rFonts w:hint="eastAsia" w:ascii="宋体" w:hAnsi="宋体" w:cs="宋体"/>
        <w:b/>
        <w:bCs/>
        <w:color w:val="FF0000"/>
        <w:sz w:val="21"/>
        <w:szCs w:val="21"/>
      </w:rPr>
      <w:t xml:space="preserve">                            24小时客服热线：4006501888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drawing>
        <wp:anchor distT="0" distB="0" distL="114300" distR="114300" simplePos="0" relativeHeight="25166028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1877675" cy="15144750"/>
          <wp:effectExtent l="0" t="0" r="9525" b="0"/>
          <wp:wrapNone/>
          <wp:docPr id="3" name="WordPictureWatermark4892672" descr="lALPGpqNanzobpHNDGzNCb4_2494_31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WordPictureWatermark4892672" descr="lALPGpqNanzobpHNDGzNCb4_2494_3180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877675" cy="151447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drawing>
        <wp:anchor distT="0" distB="0" distL="114300" distR="114300" simplePos="0" relativeHeight="251659264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1877675" cy="15144750"/>
          <wp:effectExtent l="0" t="0" r="9525" b="0"/>
          <wp:wrapNone/>
          <wp:docPr id="2" name="WordPictureWatermark4892671" descr="lALPGpqNanzobpHNDGzNCb4_2494_31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ordPictureWatermark4892671" descr="lALPGpqNanzobpHNDGzNCb4_2494_3180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877675" cy="151447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5E8"/>
    <w:rsid w:val="001367FF"/>
    <w:rsid w:val="001B0939"/>
    <w:rsid w:val="002006E8"/>
    <w:rsid w:val="00205846"/>
    <w:rsid w:val="00225B77"/>
    <w:rsid w:val="00236F1D"/>
    <w:rsid w:val="002714DC"/>
    <w:rsid w:val="00293871"/>
    <w:rsid w:val="002A0610"/>
    <w:rsid w:val="002A309C"/>
    <w:rsid w:val="002D291F"/>
    <w:rsid w:val="003037F0"/>
    <w:rsid w:val="00343548"/>
    <w:rsid w:val="00367D67"/>
    <w:rsid w:val="00396556"/>
    <w:rsid w:val="0039797F"/>
    <w:rsid w:val="003C5897"/>
    <w:rsid w:val="003D3EF8"/>
    <w:rsid w:val="003E2162"/>
    <w:rsid w:val="00406648"/>
    <w:rsid w:val="004A68F6"/>
    <w:rsid w:val="004C38C1"/>
    <w:rsid w:val="0052503C"/>
    <w:rsid w:val="00527144"/>
    <w:rsid w:val="00550C71"/>
    <w:rsid w:val="00787871"/>
    <w:rsid w:val="007C108D"/>
    <w:rsid w:val="007D1B10"/>
    <w:rsid w:val="008044F4"/>
    <w:rsid w:val="00823E11"/>
    <w:rsid w:val="0086431B"/>
    <w:rsid w:val="008960F6"/>
    <w:rsid w:val="00921CA8"/>
    <w:rsid w:val="00957A4E"/>
    <w:rsid w:val="00990D41"/>
    <w:rsid w:val="009F11DF"/>
    <w:rsid w:val="00B43FAD"/>
    <w:rsid w:val="00BA6208"/>
    <w:rsid w:val="00BD2E64"/>
    <w:rsid w:val="00BF503E"/>
    <w:rsid w:val="00C244F9"/>
    <w:rsid w:val="00C26B87"/>
    <w:rsid w:val="00C345C7"/>
    <w:rsid w:val="00CC51CF"/>
    <w:rsid w:val="00CF50D4"/>
    <w:rsid w:val="00D17EF5"/>
    <w:rsid w:val="00D60687"/>
    <w:rsid w:val="00DB23CD"/>
    <w:rsid w:val="00DC75E8"/>
    <w:rsid w:val="00E606D3"/>
    <w:rsid w:val="00E73491"/>
    <w:rsid w:val="00EB0672"/>
    <w:rsid w:val="00ED4EBA"/>
    <w:rsid w:val="00F2683A"/>
    <w:rsid w:val="00FB5CCE"/>
    <w:rsid w:val="00FD60E6"/>
    <w:rsid w:val="02332B87"/>
    <w:rsid w:val="03D6447A"/>
    <w:rsid w:val="04133751"/>
    <w:rsid w:val="04437B11"/>
    <w:rsid w:val="05F45301"/>
    <w:rsid w:val="06BA463C"/>
    <w:rsid w:val="07827D91"/>
    <w:rsid w:val="09160BE7"/>
    <w:rsid w:val="09F95C70"/>
    <w:rsid w:val="0A6249E1"/>
    <w:rsid w:val="0AB14781"/>
    <w:rsid w:val="0C6266EA"/>
    <w:rsid w:val="0CA71B19"/>
    <w:rsid w:val="0D634A18"/>
    <w:rsid w:val="0E6A070F"/>
    <w:rsid w:val="0E6F61F0"/>
    <w:rsid w:val="0EF30450"/>
    <w:rsid w:val="0FD82BA7"/>
    <w:rsid w:val="0FDF2463"/>
    <w:rsid w:val="11240754"/>
    <w:rsid w:val="118901F3"/>
    <w:rsid w:val="12CF21CE"/>
    <w:rsid w:val="14C57ADC"/>
    <w:rsid w:val="153366B6"/>
    <w:rsid w:val="161B51BB"/>
    <w:rsid w:val="16431EE3"/>
    <w:rsid w:val="16A90871"/>
    <w:rsid w:val="18BB02E2"/>
    <w:rsid w:val="1A485934"/>
    <w:rsid w:val="1BB10F94"/>
    <w:rsid w:val="1D885F93"/>
    <w:rsid w:val="1E6F37CF"/>
    <w:rsid w:val="21186058"/>
    <w:rsid w:val="214525D2"/>
    <w:rsid w:val="22876A4B"/>
    <w:rsid w:val="2485295C"/>
    <w:rsid w:val="24D77FD8"/>
    <w:rsid w:val="27691037"/>
    <w:rsid w:val="285040AB"/>
    <w:rsid w:val="2854075A"/>
    <w:rsid w:val="285A3AA3"/>
    <w:rsid w:val="2A146F67"/>
    <w:rsid w:val="2B2A254A"/>
    <w:rsid w:val="2FE7181A"/>
    <w:rsid w:val="31AC14C9"/>
    <w:rsid w:val="32776F2F"/>
    <w:rsid w:val="3294662A"/>
    <w:rsid w:val="35310A89"/>
    <w:rsid w:val="35903661"/>
    <w:rsid w:val="377D1BF5"/>
    <w:rsid w:val="380A417A"/>
    <w:rsid w:val="384B5DD7"/>
    <w:rsid w:val="393176A5"/>
    <w:rsid w:val="3A2C36FD"/>
    <w:rsid w:val="3AC03F9E"/>
    <w:rsid w:val="3E003C0C"/>
    <w:rsid w:val="40876B2F"/>
    <w:rsid w:val="414E481C"/>
    <w:rsid w:val="42E03BBF"/>
    <w:rsid w:val="431B73D2"/>
    <w:rsid w:val="46085FF2"/>
    <w:rsid w:val="461F1F35"/>
    <w:rsid w:val="46607AA1"/>
    <w:rsid w:val="48A90EE5"/>
    <w:rsid w:val="492D5A7D"/>
    <w:rsid w:val="4BC7476B"/>
    <w:rsid w:val="4CD5509B"/>
    <w:rsid w:val="4CE261F3"/>
    <w:rsid w:val="4EBA0969"/>
    <w:rsid w:val="54227F6B"/>
    <w:rsid w:val="542527FC"/>
    <w:rsid w:val="54302AE7"/>
    <w:rsid w:val="55B31AB5"/>
    <w:rsid w:val="57A80105"/>
    <w:rsid w:val="586C188E"/>
    <w:rsid w:val="61A3112A"/>
    <w:rsid w:val="62854EFA"/>
    <w:rsid w:val="63182942"/>
    <w:rsid w:val="63B1470D"/>
    <w:rsid w:val="63F93BCD"/>
    <w:rsid w:val="65057F94"/>
    <w:rsid w:val="66472335"/>
    <w:rsid w:val="6A6A4893"/>
    <w:rsid w:val="6AEA338B"/>
    <w:rsid w:val="6BA15F94"/>
    <w:rsid w:val="6E0E4C53"/>
    <w:rsid w:val="77472B2D"/>
    <w:rsid w:val="77FD2C8C"/>
    <w:rsid w:val="7A44504D"/>
    <w:rsid w:val="7B072EE5"/>
    <w:rsid w:val="7B133798"/>
    <w:rsid w:val="7C016C1D"/>
    <w:rsid w:val="7E88266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Style w:val="6"/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99"/>
    <w:pPr>
      <w:spacing w:before="100" w:beforeAutospacing="1" w:after="100" w:afterAutospacing="1"/>
    </w:pPr>
    <w:rPr>
      <w:rFonts w:ascii="宋体" w:hAnsi="宋体" w:cs="宋体"/>
    </w:r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page number"/>
    <w:basedOn w:val="7"/>
    <w:qFormat/>
    <w:uiPriority w:val="0"/>
  </w:style>
  <w:style w:type="character" w:customStyle="1" w:styleId="10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7"/>
    <w:link w:val="3"/>
    <w:semiHidden/>
    <w:qFormat/>
    <w:uiPriority w:val="99"/>
    <w:rPr>
      <w:sz w:val="18"/>
      <w:szCs w:val="18"/>
    </w:rPr>
  </w:style>
  <w:style w:type="character" w:customStyle="1" w:styleId="12">
    <w:name w:val="批注框文本 Char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1298</Words>
  <Characters>7399</Characters>
  <Lines>61</Lines>
  <Paragraphs>17</Paragraphs>
  <TotalTime>1</TotalTime>
  <ScaleCrop>false</ScaleCrop>
  <LinksUpToDate>false</LinksUpToDate>
  <CharactersWithSpaces>8680</CharactersWithSpaces>
  <Application>WPS Office_11.1.0.8415_F1E327BC-269C-435d-A152-05C5408002CA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2020-08-06T04:58:00Z</dcterms:created>
  <dc:creator>dell</dc:creator>
  <cp:lastModifiedBy>dell</cp:lastModifiedBy>
  <dcterms:modified xsi:type="dcterms:W3CDTF">2020-08-06T09:44:26Z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2052-11.1.0.8415</vt:lpwstr>
  </property>
</Properties>
</file>