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ind w:left="0" w:firstLine="0"/>
        <w:jc w:val="center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lang w:val="en-US" w:eastAsia="zh-CN" w:bidi="ar"/>
        </w:rPr>
        <w:t>2020年人才引进计划一览表</w:t>
      </w:r>
    </w:p>
    <w:tbl>
      <w:tblPr>
        <w:tblW w:w="11196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08"/>
        <w:gridCol w:w="4423"/>
        <w:gridCol w:w="407"/>
        <w:gridCol w:w="2716"/>
        <w:gridCol w:w="1806"/>
        <w:gridCol w:w="3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Header/>
          <w:tblCellSpacing w:w="0" w:type="dxa"/>
          <w:jc w:val="center"/>
        </w:trPr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单    位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岗  位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量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专    业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学历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学位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中医系</w:t>
            </w: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（6人）</w:t>
            </w:r>
          </w:p>
        </w:tc>
        <w:tc>
          <w:tcPr>
            <w:tcW w:w="4440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健康服务与管理、中医养生保健、老年保健与管理教学</w:t>
            </w:r>
          </w:p>
        </w:tc>
        <w:tc>
          <w:tcPr>
            <w:tcW w:w="408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2</w:t>
            </w:r>
          </w:p>
        </w:tc>
        <w:tc>
          <w:tcPr>
            <w:tcW w:w="2724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健康服务与管理、中医养生保健、老年保健与管理专业；中医</w:t>
            </w: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药</w:t>
            </w: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学专业（方向）</w:t>
            </w:r>
          </w:p>
        </w:tc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08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2724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08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2724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康复医学教学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康复医学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中医学教学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2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中医学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康复治疗教学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康复治疗学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本科/学士及以上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中药系（5人）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医学检验教学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医学检验</w:t>
            </w:r>
          </w:p>
        </w:tc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药学制药设备教学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药学制药设备及相关专业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药学药品检验教学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药学药品检验及相关专业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药学教学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药学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生物医学工程教学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生物医学工程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医疗系（4人）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口腔教学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3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口腔医学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本科/学士及以上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外科教学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临床医学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护理系（1人）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老年服务与管理专业建设、课程建设与教学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老年护理方向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本科起点学历，硕士研究生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医基部（2人）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解剖学教学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解剖学</w:t>
            </w:r>
          </w:p>
        </w:tc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生理学教学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生理学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公共基础部（5人）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计算机应用基础教学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计算机应用技术</w:t>
            </w:r>
          </w:p>
        </w:tc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英语教学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英语教育（师范类）专业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体育教学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3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体育教育（足球、羽毛球、气排球、民族传统体育）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本科/学士（一级运动员）；研究生/硕士（二级运动员）。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实验实训中心（2人）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化学类实验室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化学、药学</w:t>
            </w:r>
          </w:p>
        </w:tc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本科/学士及以上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健康管理与促进类实训室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中医学、康复治疗学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思政课部</w:t>
            </w: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（5人）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思政理论课教学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4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马克思主义理论、政治学及其相关专业（本、硕专业一致或相近）</w:t>
            </w:r>
          </w:p>
        </w:tc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就业指导教学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创新创业、就业指导及其相关专业（本、硕专业一致或相近）</w:t>
            </w:r>
          </w:p>
        </w:tc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规划财务处（2人）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财务岗位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2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会计学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图书馆（信息化建设办公室）（1人）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信息化建设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信息技术及相关专业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  <w:tblCellSpacing w:w="0" w:type="dxa"/>
          <w:jc w:val="center"/>
        </w:trPr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学工处（8人）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专职辅导员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8</w:t>
            </w:r>
          </w:p>
        </w:tc>
        <w:tc>
          <w:tcPr>
            <w:tcW w:w="27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见专职辅导员招聘实施方案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保卫处（2人）</w:t>
            </w: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治安管理、消防安全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vMerge w:val="restart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治安学、安全保卫、法律、管理及与岗位相关的专业</w:t>
            </w: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本科/学士及以上（治安学、安全保卫）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tblCellSpacing w:w="0" w:type="dxa"/>
          <w:jc w:val="center"/>
        </w:trPr>
        <w:tc>
          <w:tcPr>
            <w:tcW w:w="1812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444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综合治理</w:t>
            </w:r>
          </w:p>
        </w:tc>
        <w:tc>
          <w:tcPr>
            <w:tcW w:w="40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1</w:t>
            </w:r>
          </w:p>
        </w:tc>
        <w:tc>
          <w:tcPr>
            <w:tcW w:w="2724" w:type="dxa"/>
            <w:vMerge w:val="continue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kern w:val="0"/>
                <w:sz w:val="14"/>
                <w:szCs w:val="14"/>
                <w:lang w:val="en-US" w:eastAsia="zh-CN" w:bidi="ar"/>
              </w:rPr>
              <w:t>研究生/硕士（法律、管理及与岗位相关的专业）</w:t>
            </w:r>
          </w:p>
        </w:tc>
        <w:tc>
          <w:tcPr>
            <w:tcW w:w="6" w:type="dxa"/>
            <w:shd w:val="clear"/>
            <w:vAlign w:val="center"/>
          </w:tcPr>
          <w:p>
            <w:pPr>
              <w:rPr>
                <w:rFonts w:hint="eastAsia" w:ascii="宋体"/>
                <w:sz w:val="14"/>
                <w:szCs w:val="1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1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合  计</w:t>
            </w:r>
          </w:p>
        </w:tc>
        <w:tc>
          <w:tcPr>
            <w:tcW w:w="9384" w:type="dxa"/>
            <w:gridSpan w:val="4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sz w:val="14"/>
                <w:szCs w:val="14"/>
              </w:rPr>
            </w:pPr>
            <w:r>
              <w:rPr>
                <w:rFonts w:ascii="宋体" w:hAnsi="宋体" w:eastAsia="宋体" w:cs="宋体"/>
                <w:b/>
                <w:kern w:val="0"/>
                <w:sz w:val="14"/>
                <w:szCs w:val="14"/>
                <w:lang w:val="en-US" w:eastAsia="zh-CN" w:bidi="ar"/>
              </w:rPr>
              <w:t>共43人，其中专任教师30人，信息化建设1人、专职辅导员8人，财务人员2人，安全管理人员2人。</w:t>
            </w:r>
          </w:p>
        </w:tc>
        <w:tc>
          <w:tcPr>
            <w:tcW w:w="0" w:type="auto"/>
            <w:tcBorders>
              <w:lef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B6D84"/>
    <w:multiLevelType w:val="singleLevel"/>
    <w:tmpl w:val="761B6D84"/>
    <w:lvl w:ilvl="0" w:tentative="0">
      <w:start w:val="1"/>
      <w:numFmt w:val="decimal"/>
      <w:pStyle w:val="5"/>
      <w:lvlText w:val="%1."/>
      <w:lvlJc w:val="left"/>
      <w:pPr>
        <w:tabs>
          <w:tab w:val="left" w:pos="2040"/>
        </w:tabs>
        <w:ind w:left="20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BA74E8"/>
    <w:rsid w:val="0B4B1FBC"/>
    <w:rsid w:val="255064C8"/>
    <w:rsid w:val="2A6C5EBC"/>
    <w:rsid w:val="386572E6"/>
    <w:rsid w:val="3BDB1A80"/>
    <w:rsid w:val="464D2F66"/>
    <w:rsid w:val="499A196B"/>
    <w:rsid w:val="4A2C6E27"/>
    <w:rsid w:val="55B64330"/>
    <w:rsid w:val="73213B08"/>
    <w:rsid w:val="78E01F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next w:val="5"/>
    <w:qFormat/>
    <w:uiPriority w:val="99"/>
    <w:rPr>
      <w:rFonts w:ascii="宋体" w:hAnsi="Courier New" w:cs="Courier New"/>
      <w:szCs w:val="21"/>
    </w:rPr>
  </w:style>
  <w:style w:type="paragraph" w:styleId="5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7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FollowedHyperlink"/>
    <w:basedOn w:val="9"/>
    <w:qFormat/>
    <w:uiPriority w:val="0"/>
    <w:rPr>
      <w:color w:val="800080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TML Definition"/>
    <w:basedOn w:val="9"/>
    <w:qFormat/>
    <w:uiPriority w:val="0"/>
  </w:style>
  <w:style w:type="character" w:styleId="14">
    <w:name w:val="HTML Variable"/>
    <w:basedOn w:val="9"/>
    <w:qFormat/>
    <w:uiPriority w:val="0"/>
  </w:style>
  <w:style w:type="character" w:styleId="15">
    <w:name w:val="Hyperlink"/>
    <w:basedOn w:val="9"/>
    <w:qFormat/>
    <w:uiPriority w:val="0"/>
    <w:rPr>
      <w:color w:val="0000FF"/>
      <w:u w:val="none"/>
    </w:rPr>
  </w:style>
  <w:style w:type="character" w:styleId="16">
    <w:name w:val="HTML Code"/>
    <w:basedOn w:val="9"/>
    <w:qFormat/>
    <w:uiPriority w:val="0"/>
    <w:rPr>
      <w:rFonts w:ascii="Courier New" w:hAnsi="Courier New"/>
      <w:sz w:val="20"/>
    </w:rPr>
  </w:style>
  <w:style w:type="character" w:styleId="17">
    <w:name w:val="HTML Cite"/>
    <w:basedOn w:val="9"/>
    <w:qFormat/>
    <w:uiPriority w:val="0"/>
  </w:style>
  <w:style w:type="paragraph" w:customStyle="1" w:styleId="18">
    <w:name w:val="_Style 16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9">
    <w:name w:val="_Style 17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国超科技</cp:lastModifiedBy>
  <dcterms:modified xsi:type="dcterms:W3CDTF">2019-11-26T02:51:46Z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