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sz w:val="28"/>
          <w:szCs w:val="24"/>
        </w:rPr>
      </w:pPr>
      <w:r>
        <w:rPr>
          <w:rFonts w:hint="eastAsia" w:asciiTheme="minorEastAsia" w:hAnsiTheme="minorEastAsia"/>
          <w:b/>
          <w:sz w:val="28"/>
          <w:szCs w:val="24"/>
        </w:rPr>
        <w:t>香港大学深圳医院</w:t>
      </w:r>
    </w:p>
    <w:p>
      <w:pPr>
        <w:jc w:val="center"/>
        <w:rPr>
          <w:rFonts w:asciiTheme="minorEastAsia" w:hAnsiTheme="minorEastAsia"/>
          <w:b/>
          <w:sz w:val="28"/>
          <w:szCs w:val="24"/>
        </w:rPr>
      </w:pPr>
      <w:r>
        <w:rPr>
          <w:rFonts w:hint="eastAsia" w:asciiTheme="minorEastAsia" w:hAnsiTheme="minorEastAsia"/>
          <w:b/>
          <w:sz w:val="28"/>
          <w:szCs w:val="24"/>
        </w:rPr>
        <w:t>2020年住院医师规范化培训招生简介</w:t>
      </w:r>
    </w:p>
    <w:p>
      <w:pPr>
        <w:rPr>
          <w:rFonts w:asciiTheme="minorEastAsia" w:hAnsiTheme="minorEastAsia"/>
          <w:b/>
          <w:szCs w:val="21"/>
        </w:rPr>
      </w:pPr>
    </w:p>
    <w:p>
      <w:pPr>
        <w:widowControl/>
        <w:autoSpaceDE w:val="0"/>
        <w:adjustRightInd w:val="0"/>
        <w:snapToGrid w:val="0"/>
        <w:spacing w:line="360" w:lineRule="auto"/>
        <w:jc w:val="left"/>
        <w:rPr>
          <w:rFonts w:asciiTheme="majorEastAsia" w:hAnsiTheme="majorEastAsia" w:eastAsiaTheme="majorEastAsia" w:cstheme="majorEastAsia"/>
          <w:b/>
          <w:bCs/>
          <w:kern w:val="0"/>
          <w:sz w:val="24"/>
          <w:szCs w:val="24"/>
        </w:rPr>
      </w:pPr>
      <w:r>
        <w:rPr>
          <w:rFonts w:hint="eastAsia" w:asciiTheme="majorEastAsia" w:hAnsiTheme="majorEastAsia" w:eastAsiaTheme="majorEastAsia" w:cstheme="majorEastAsia"/>
          <w:b/>
          <w:bCs/>
          <w:kern w:val="0"/>
          <w:sz w:val="24"/>
          <w:szCs w:val="24"/>
        </w:rPr>
        <w:t>【医院概况】</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香港大学深圳医院是集医疗、教学、科研于一体的大型三级甲等综合性公立医院，也是香港大学附属医院。医院总投资约40亿元，占地面积19.2万平方米，总建筑面积36.7万平方米。医院现拥有床位2000张，目前已经启动二期工程建设，未来将增至 3000 病床。 </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医院于2012年7月1日开始试运营，逐步引进国际一流的先进医院管理经验和医疗技术，为市民提供优质医疗服务。作为深圳市政府和香港大学合作运营的公立医院，它开创了祖国内地与香港在公立医疗领域合作的先河，亦肩负着公立医院改革试点的重任。 </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医院全面引进香港大学国际一流水平的优势学科，并优先打造“六大”诊疗中心，包括生殖医学及产前诊断中心、肿瘤综合治疗中心、心血管治疗中心、骨科与创伤中心、 器官移植中心、感染性疾病综合诊疗中心。同时，医院设立国际医疗中心，提供具有国际先进水平的高端医疗服务。 </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借助深港合作的有利优势，港大深圳医院借鉴、引进国外现代化医院管理服务模式，大胆试行多项诊疗服务改革创新措施，创造深圳多个“第一”，如预约制度、全科服务、团队诊疗、打包收费、医患关系、不良事件管理、国际化急诊服务、推行临床路径管理等，这些措施为深圳及内地公立医院改革提供了有益的参考。医院致力将香港公平、公开、公益的专业文化，融合内地高效的经济创新动力，成为“绿色医疗”探索者，以带动国家公立医院改革。医院在推进公立医院法人治理、人事薪酬改革、医疗收费支付、诊疗服务模式创新、提升医务人员职业荣誉感、发展公益慈善事业等多方面为内地医疗改革带来清新的改革之风，打造粤港澳大湾区医疗改革的独特平台。</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在过去的几年中，以“卓越、创新、信任、关爱”为理念，医院在各方面取得了长足发展。在医疗服务方面，截止2018年12月，医院全年总诊疗人次逾184万人次，</w:t>
      </w:r>
      <w:r>
        <w:rPr>
          <w:rFonts w:hint="eastAsia" w:asciiTheme="minorEastAsia" w:hAnsiTheme="minorEastAsia"/>
          <w:sz w:val="24"/>
          <w:szCs w:val="24"/>
          <w:lang w:eastAsia="zh-CN"/>
        </w:rPr>
        <w:t>开放</w:t>
      </w:r>
      <w:r>
        <w:rPr>
          <w:rFonts w:hint="eastAsia" w:asciiTheme="minorEastAsia" w:hAnsiTheme="minorEastAsia"/>
          <w:sz w:val="24"/>
          <w:szCs w:val="24"/>
        </w:rPr>
        <w:t xml:space="preserve">病床逾1700张，开业六年多来已经服务市民约700万人次，病人满意度名列前茅；医疗质量方面，医院于2015年10月通过 ACHS 全机构认证，2017年10月通过国家三级甲等医院认证，成为国内首家 ACHS 和三甲双认证医院。为满足市民及外籍人士对多元化医疗服务的需求，医院设立国际医疗中心，提供具有国际先进水平，注重人文关怀的国际化高端医疗保健服务。 </w:t>
      </w:r>
    </w:p>
    <w:p>
      <w:pPr>
        <w:spacing w:line="360" w:lineRule="auto"/>
        <w:ind w:firstLine="480" w:firstLineChars="200"/>
        <w:rPr>
          <w:rFonts w:hint="eastAsia" w:asciiTheme="minorEastAsia" w:hAnsiTheme="minorEastAsia"/>
          <w:sz w:val="24"/>
          <w:szCs w:val="24"/>
          <w:lang w:eastAsia="zh-CN"/>
        </w:rPr>
      </w:pPr>
      <w:r>
        <w:rPr>
          <w:rFonts w:hint="eastAsia" w:asciiTheme="minorEastAsia" w:hAnsiTheme="minorEastAsia"/>
          <w:sz w:val="24"/>
          <w:szCs w:val="24"/>
        </w:rPr>
        <w:t>2018年6月，医院成功入选广东省高水平医院建设“登峰计划”培育单位，将全力打造集“医、教、研、管”为一体的四个粤港澳大湾区国际化中心，包括医疗中心、医学人才培养中心、医学科技创新中心和医院管理创新中心。2019年7月，深港医学专科培训中心于香港大学深圳医院正式落成，中心将以港大医院为平台，引入香港专科医师培训体系，为粤港澳大湾区培养更多高质量的专科医学人才。目前</w:t>
      </w:r>
      <w:r>
        <w:rPr>
          <w:rFonts w:hint="eastAsia" w:asciiTheme="minorEastAsia" w:hAnsiTheme="minorEastAsia"/>
          <w:sz w:val="24"/>
          <w:szCs w:val="24"/>
          <w:lang w:eastAsia="zh-CN"/>
        </w:rPr>
        <w:t>正积极</w:t>
      </w:r>
      <w:r>
        <w:rPr>
          <w:rFonts w:hint="eastAsia" w:asciiTheme="minorEastAsia" w:hAnsiTheme="minorEastAsia"/>
          <w:sz w:val="24"/>
          <w:szCs w:val="24"/>
        </w:rPr>
        <w:t>开展专科医师培训工作探索。医院未来的愿景不仅是发展成为“</w:t>
      </w:r>
      <w:r>
        <w:rPr>
          <w:rFonts w:hint="eastAsia" w:asciiTheme="minorEastAsia" w:hAnsiTheme="minorEastAsia"/>
          <w:sz w:val="24"/>
          <w:szCs w:val="24"/>
          <w:lang w:eastAsia="zh-CN"/>
        </w:rPr>
        <w:t>国内一流、国际知名”的集医、教、研于一体的现代化、数字化、综合性公立医院，更将成为国际顶尖的教学医院和医学院，为国家培养医疗人才。</w:t>
      </w:r>
    </w:p>
    <w:p>
      <w:pPr>
        <w:spacing w:line="360" w:lineRule="auto"/>
        <w:ind w:firstLine="480" w:firstLineChars="200"/>
        <w:rPr>
          <w:rFonts w:hint="eastAsia" w:asciiTheme="minorEastAsia" w:hAnsiTheme="minorEastAsia"/>
          <w:sz w:val="24"/>
          <w:szCs w:val="24"/>
          <w:lang w:eastAsia="zh-CN"/>
        </w:rPr>
      </w:pPr>
      <w:r>
        <w:rPr>
          <w:rFonts w:hint="eastAsia" w:asciiTheme="minorEastAsia" w:hAnsiTheme="minorEastAsia"/>
          <w:sz w:val="24"/>
          <w:szCs w:val="24"/>
          <w:lang w:eastAsia="zh-CN"/>
        </w:rPr>
        <w:t>近年来住培教学影响力不断提升，包括承办综合类国家级毕业后医学教育论坛、在全国住培高峰论坛的上独立承办一个分论坛，取得省级全科师资培训基地资质，并且首次参加深圳市住培基地竞赛就勇闯佳绩，占领区域高地。</w:t>
      </w:r>
    </w:p>
    <w:p>
      <w:pPr>
        <w:spacing w:line="360" w:lineRule="auto"/>
        <w:ind w:firstLine="480" w:firstLineChars="200"/>
        <w:rPr>
          <w:rFonts w:asciiTheme="minorEastAsia" w:hAnsiTheme="minorEastAsia"/>
          <w:b/>
          <w:bCs/>
          <w:sz w:val="24"/>
          <w:szCs w:val="24"/>
        </w:rPr>
      </w:pPr>
      <w:r>
        <w:rPr>
          <w:rFonts w:hint="eastAsia" w:asciiTheme="minorEastAsia" w:hAnsiTheme="minorEastAsia"/>
          <w:sz w:val="24"/>
          <w:szCs w:val="24"/>
          <w:lang w:eastAsia="zh-CN"/>
        </w:rPr>
        <w:t xml:space="preserve"> 截止2019年，医院已获得9个深圳市“医疗卫生三名工程”资助项目，分别由肝胆胰外科、临床肿瘤中心、生殖医学中心、呼吸内科、骨科、乳腺外科、新生儿科、心血管内科、微生物及感染控制科</w:t>
      </w:r>
      <w:r>
        <w:rPr>
          <w:rFonts w:hint="eastAsia" w:asciiTheme="minorEastAsia" w:hAnsiTheme="minorEastAsia"/>
          <w:sz w:val="24"/>
          <w:szCs w:val="24"/>
        </w:rPr>
        <w:t>这九个科室承担项目，团队均引进了国际上相关领域的顶尖医疗团队，以提升临床诊疗，培养医疗人才，提升教学和科研水平。</w:t>
      </w:r>
    </w:p>
    <w:p>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肝胆胰外科</w:t>
      </w:r>
      <w:r>
        <w:rPr>
          <w:rFonts w:hint="eastAsia" w:asciiTheme="minorEastAsia" w:hAnsiTheme="minorEastAsia"/>
          <w:sz w:val="24"/>
          <w:szCs w:val="24"/>
        </w:rPr>
        <w:t>借助香港大学团队，由院长卢宠茂教授亲自带领，成员还包括</w:t>
      </w:r>
      <w:r>
        <w:rPr>
          <w:rFonts w:asciiTheme="minorEastAsia" w:hAnsiTheme="minorEastAsia"/>
          <w:sz w:val="24"/>
          <w:szCs w:val="24"/>
        </w:rPr>
        <w:t>中国工程院院士、香港大学微生物学系袁国勇教授</w:t>
      </w:r>
      <w:r>
        <w:rPr>
          <w:rFonts w:hint="eastAsia" w:asciiTheme="minorEastAsia" w:hAnsiTheme="minorEastAsia"/>
          <w:sz w:val="24"/>
          <w:szCs w:val="24"/>
        </w:rPr>
        <w:t>；</w:t>
      </w:r>
      <w:r>
        <w:rPr>
          <w:rFonts w:asciiTheme="minorEastAsia" w:hAnsiTheme="minorEastAsia"/>
          <w:sz w:val="24"/>
          <w:szCs w:val="24"/>
        </w:rPr>
        <w:t>美国加州大学医学院肝移植中心医学主任Francis Yao教授等</w:t>
      </w:r>
      <w:r>
        <w:rPr>
          <w:rFonts w:hint="eastAsia" w:asciiTheme="minorEastAsia" w:hAnsiTheme="minorEastAsia"/>
          <w:sz w:val="24"/>
          <w:szCs w:val="24"/>
        </w:rPr>
        <w:t>。</w:t>
      </w:r>
      <w:r>
        <w:rPr>
          <w:rFonts w:asciiTheme="minorEastAsia" w:hAnsiTheme="minorEastAsia"/>
          <w:sz w:val="24"/>
          <w:szCs w:val="24"/>
        </w:rPr>
        <w:t>卢宠茂教授是国际知名的肝胆外科及肝移植专家，</w:t>
      </w:r>
      <w:r>
        <w:rPr>
          <w:rFonts w:hint="eastAsia" w:asciiTheme="minorEastAsia" w:hAnsiTheme="minorEastAsia"/>
          <w:sz w:val="24"/>
          <w:szCs w:val="24"/>
        </w:rPr>
        <w:t>曾带领团队</w:t>
      </w:r>
      <w:r>
        <w:rPr>
          <w:rFonts w:asciiTheme="minorEastAsia" w:hAnsiTheme="minorEastAsia"/>
          <w:sz w:val="24"/>
          <w:szCs w:val="24"/>
        </w:rPr>
        <w:t>成功实施世界首例成人肝右叶移植</w:t>
      </w:r>
      <w:r>
        <w:rPr>
          <w:rFonts w:hint="eastAsia" w:asciiTheme="minorEastAsia" w:hAnsiTheme="minorEastAsia"/>
          <w:sz w:val="24"/>
          <w:szCs w:val="24"/>
        </w:rPr>
        <w:t>，</w:t>
      </w:r>
      <w:r>
        <w:rPr>
          <w:rFonts w:asciiTheme="minorEastAsia" w:hAnsiTheme="minorEastAsia"/>
          <w:sz w:val="24"/>
          <w:szCs w:val="24"/>
        </w:rPr>
        <w:t>在肝移植领域引起重大革新</w:t>
      </w:r>
      <w:r>
        <w:rPr>
          <w:rFonts w:hint="eastAsia" w:asciiTheme="minorEastAsia" w:hAnsiTheme="minorEastAsia"/>
          <w:sz w:val="24"/>
          <w:szCs w:val="24"/>
        </w:rPr>
        <w:t>。</w:t>
      </w:r>
      <w:r>
        <w:rPr>
          <w:rFonts w:asciiTheme="minorEastAsia" w:hAnsiTheme="minorEastAsia"/>
          <w:sz w:val="24"/>
          <w:szCs w:val="24"/>
        </w:rPr>
        <w:t>2010年-2011年，卢教授担任国际肝脏移植学会主席，是该学会首位当选主席的亚洲人</w:t>
      </w:r>
      <w:r>
        <w:rPr>
          <w:rFonts w:hint="eastAsia" w:asciiTheme="minorEastAsia" w:hAnsiTheme="minorEastAsia"/>
          <w:sz w:val="24"/>
          <w:szCs w:val="24"/>
        </w:rPr>
        <w:t>。卢教授亦</w:t>
      </w:r>
      <w:r>
        <w:rPr>
          <w:rFonts w:asciiTheme="minorEastAsia" w:hAnsiTheme="minorEastAsia"/>
          <w:sz w:val="24"/>
          <w:szCs w:val="24"/>
        </w:rPr>
        <w:t>是香港外科学会副主席和香港移植学会主席</w:t>
      </w:r>
      <w:r>
        <w:rPr>
          <w:rFonts w:hint="eastAsia" w:asciiTheme="minorEastAsia" w:hAnsiTheme="minorEastAsia"/>
          <w:sz w:val="24"/>
          <w:szCs w:val="24"/>
        </w:rPr>
        <w:t>，</w:t>
      </w:r>
      <w:r>
        <w:rPr>
          <w:rFonts w:asciiTheme="minorEastAsia" w:hAnsiTheme="minorEastAsia"/>
          <w:sz w:val="24"/>
          <w:szCs w:val="24"/>
        </w:rPr>
        <w:t>香港政府</w:t>
      </w:r>
      <w:r>
        <w:rPr>
          <w:rFonts w:hint="eastAsia" w:asciiTheme="minorEastAsia" w:hAnsiTheme="minorEastAsia"/>
          <w:sz w:val="24"/>
          <w:szCs w:val="24"/>
        </w:rPr>
        <w:t>曾</w:t>
      </w:r>
      <w:r>
        <w:rPr>
          <w:rFonts w:asciiTheme="minorEastAsia" w:hAnsiTheme="minorEastAsia"/>
          <w:sz w:val="24"/>
          <w:szCs w:val="24"/>
        </w:rPr>
        <w:t>于2012年委任他为太平绅士, 2016年授予他铜紫荆星章</w:t>
      </w:r>
      <w:r>
        <w:rPr>
          <w:rFonts w:hint="eastAsia" w:asciiTheme="minorEastAsia" w:hAnsiTheme="minorEastAsia"/>
          <w:sz w:val="24"/>
          <w:szCs w:val="24"/>
        </w:rPr>
        <w:t>，以</w:t>
      </w:r>
      <w:r>
        <w:rPr>
          <w:rFonts w:asciiTheme="minorEastAsia" w:hAnsiTheme="minorEastAsia"/>
          <w:sz w:val="24"/>
          <w:szCs w:val="24"/>
        </w:rPr>
        <w:t>表彰</w:t>
      </w:r>
      <w:r>
        <w:rPr>
          <w:rFonts w:hint="eastAsia" w:asciiTheme="minorEastAsia" w:hAnsiTheme="minorEastAsia"/>
          <w:sz w:val="24"/>
          <w:szCs w:val="24"/>
        </w:rPr>
        <w:t>其</w:t>
      </w:r>
      <w:r>
        <w:rPr>
          <w:rFonts w:asciiTheme="minorEastAsia" w:hAnsiTheme="minorEastAsia"/>
          <w:sz w:val="24"/>
          <w:szCs w:val="24"/>
        </w:rPr>
        <w:t>重大贡献。</w:t>
      </w:r>
    </w:p>
    <w:p>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临床肿瘤中心</w:t>
      </w:r>
      <w:r>
        <w:rPr>
          <w:rFonts w:hint="eastAsia" w:asciiTheme="minorEastAsia" w:hAnsiTheme="minorEastAsia"/>
          <w:sz w:val="24"/>
          <w:szCs w:val="24"/>
        </w:rPr>
        <w:t>引进加拿大多伦多大学玛格莉特癌症中心团队，这是北美单体设施最大的放射治疗中心，学术排名世界第2。团队学术带头人Brian O’Sullivan 教授是国际知名的放射肿瘤学家、头颈部肿瘤和肉瘤专家。临床肿瘤中心主管李咏梅教授也是国际知名的鼻咽癌治疗领域的专家。</w:t>
      </w:r>
    </w:p>
    <w:p>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生殖医学中心</w:t>
      </w:r>
      <w:r>
        <w:rPr>
          <w:rFonts w:hint="eastAsia" w:asciiTheme="minorEastAsia" w:hAnsiTheme="minorEastAsia"/>
          <w:sz w:val="24"/>
          <w:szCs w:val="24"/>
        </w:rPr>
        <w:t>引进“瑞典卡罗林斯卡研究院 Kristina Gemzell-Danielsson 教授生殖医学团队”，学术带头人Kristina Gemzell-Danielsson 教授，是诺贝尔生理学或医学奖评委之一，也是卡罗林斯卡大学医院 (Karolinska University Hospital)妇产科高级顾问。</w:t>
      </w:r>
    </w:p>
    <w:p>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呼吸内科</w:t>
      </w:r>
      <w:r>
        <w:rPr>
          <w:rFonts w:hint="eastAsia" w:asciiTheme="minorEastAsia" w:hAnsiTheme="minorEastAsia"/>
          <w:sz w:val="24"/>
          <w:szCs w:val="24"/>
        </w:rPr>
        <w:t>引进英国伦敦帝国理工学院Fan Chung教授整合性气道疾病团队，学术带头人Fan Chung教授是英国国家心肺研究所实验研究医学主任。该研究所是享誉全球的最大的心肺医学研究部门之一。</w:t>
      </w:r>
    </w:p>
    <w:p>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骨科</w:t>
      </w:r>
      <w:r>
        <w:rPr>
          <w:rFonts w:hint="eastAsia" w:asciiTheme="minorEastAsia" w:hAnsiTheme="minorEastAsia"/>
          <w:bCs/>
          <w:sz w:val="24"/>
          <w:szCs w:val="24"/>
        </w:rPr>
        <w:t>引进香港玛丽医院张文智教授脊柱病变治疗团队，学术带头人张文智教授是脊柱外科全球最高学术机构—国际脊柱侧凸研究学会前任主席。张教授也是香港玛丽医院矫形及创伤外科学系主任，该学系在国际脊柱疾病治疗领域享有盛誉，累计发表国际SCI文章超过500篇。</w:t>
      </w:r>
    </w:p>
    <w:p>
      <w:pPr>
        <w:spacing w:line="360" w:lineRule="auto"/>
        <w:ind w:firstLine="482" w:firstLineChars="200"/>
        <w:rPr>
          <w:rFonts w:asciiTheme="minorEastAsia" w:hAnsiTheme="minorEastAsia"/>
          <w:sz w:val="24"/>
          <w:szCs w:val="24"/>
        </w:rPr>
      </w:pPr>
      <w:r>
        <w:rPr>
          <w:rFonts w:hint="eastAsia" w:asciiTheme="minorEastAsia" w:hAnsiTheme="minorEastAsia"/>
          <w:b/>
          <w:bCs/>
          <w:sz w:val="24"/>
          <w:szCs w:val="24"/>
        </w:rPr>
        <w:t>乳腺外科</w:t>
      </w:r>
      <w:r>
        <w:rPr>
          <w:rFonts w:hint="eastAsia" w:asciiTheme="minorEastAsia" w:hAnsiTheme="minorEastAsia"/>
          <w:sz w:val="24"/>
          <w:szCs w:val="24"/>
        </w:rPr>
        <w:t>引进英国爱丁堡大学乳腺中心MichaelDixon教授乳癌及乳腺病尖端治疗团队。2008年6月5日，英国政府依托于Dixon教授乳腺中心，设立了爱丁堡Breakthrough 乳腺癌世界级研究中心，也是英国最大的乳腺癌诊疗中心。英国爱丁堡肿瘤中心是享誉全球的肿瘤医学研究部门之一，拥有领先世界的学术基础，一流的设备、教学及国际合作资源。</w:t>
      </w:r>
    </w:p>
    <w:p>
      <w:pPr>
        <w:spacing w:line="360" w:lineRule="auto"/>
        <w:ind w:firstLine="482" w:firstLineChars="200"/>
        <w:rPr>
          <w:rFonts w:asciiTheme="minorEastAsia" w:hAnsiTheme="minorEastAsia"/>
          <w:sz w:val="24"/>
          <w:szCs w:val="24"/>
        </w:rPr>
      </w:pPr>
      <w:r>
        <w:rPr>
          <w:rFonts w:hint="eastAsia" w:asciiTheme="minorEastAsia" w:hAnsiTheme="minorEastAsia"/>
          <w:b/>
          <w:sz w:val="24"/>
          <w:szCs w:val="24"/>
        </w:rPr>
        <w:t>新生儿科</w:t>
      </w:r>
      <w:r>
        <w:rPr>
          <w:rFonts w:hint="eastAsia" w:asciiTheme="minorEastAsia" w:hAnsiTheme="minorEastAsia"/>
          <w:sz w:val="24"/>
          <w:szCs w:val="24"/>
        </w:rPr>
        <w:t>引进“加拿大新生儿研究所Shoo K Lee教授极高危新生儿综合诊疗尖端团队”。学术带头人Shoo K Lee教授是哈佛大学健康政策博士,多伦多大学教授,加拿大CNN主席,加拿大卫生研究院(CIHR)儿童和青年发育健康部科学主任；国际知名新生儿项目：iNEO、MiCARE、FIC、INC、EPIQ的创始人及主席；WHO高级顾问；中加围产医学培训计划（2004年至今）主席，培训新生儿专职医护150余名；加拿大西奈山医院(Mount Sinai Hospital)母婴研究中心的儿科主任。复旦大学附属儿童医院(厦门分院)名誉院长；32所高校客座或特聘教授；2018年被上海市政府授予“白玉兰金奖”；论文600余篇，主编专著10部，国际奖项数十项。</w:t>
      </w:r>
    </w:p>
    <w:p>
      <w:pPr>
        <w:spacing w:line="360" w:lineRule="auto"/>
        <w:ind w:firstLine="482" w:firstLineChars="200"/>
        <w:rPr>
          <w:rFonts w:asciiTheme="minorEastAsia" w:hAnsiTheme="minorEastAsia"/>
          <w:sz w:val="24"/>
          <w:szCs w:val="24"/>
        </w:rPr>
      </w:pPr>
      <w:r>
        <w:rPr>
          <w:rFonts w:hint="eastAsia" w:asciiTheme="minorEastAsia" w:hAnsiTheme="minorEastAsia"/>
          <w:b/>
          <w:bCs/>
          <w:sz w:val="24"/>
          <w:szCs w:val="24"/>
        </w:rPr>
        <w:t>心血管内科</w:t>
      </w:r>
      <w:r>
        <w:rPr>
          <w:rFonts w:hint="eastAsia" w:asciiTheme="minorEastAsia" w:hAnsiTheme="minorEastAsia"/>
          <w:sz w:val="24"/>
          <w:szCs w:val="24"/>
        </w:rPr>
        <w:t>引进英国伦敦帝国理工学院皇家布朗普顿医院Dudley Pennell院士心血管影像精准医学团队。Dudley Pennell教授是英国医学研究理事会院士，皇家布朗普顿医院国家健康研究院心血管病生物医学研究部主管，无创心脏病学科主管，英国心脏病基金会先进心血管磁共振中心主管，国际心血管磁共振学会的创始成员及前主席；在国际心血管领域发表论文超过800篇，获国际心血管磁共振协会金质奖章。Dudley Pennell教授及其团队长期致力于心血管临床、研究和教学，对于心血管及心脏影像人才的培养具有成熟系统和丰富经验。</w:t>
      </w:r>
    </w:p>
    <w:p>
      <w:pPr>
        <w:spacing w:line="360" w:lineRule="auto"/>
        <w:ind w:firstLine="482" w:firstLineChars="200"/>
        <w:rPr>
          <w:rFonts w:asciiTheme="minorEastAsia" w:hAnsiTheme="minorEastAsia"/>
          <w:sz w:val="24"/>
          <w:szCs w:val="24"/>
        </w:rPr>
      </w:pPr>
      <w:r>
        <w:rPr>
          <w:rFonts w:hint="eastAsia" w:asciiTheme="minorEastAsia" w:hAnsiTheme="minorEastAsia"/>
          <w:b/>
          <w:sz w:val="24"/>
          <w:szCs w:val="24"/>
        </w:rPr>
        <w:t>临床微生物及感染控制科</w:t>
      </w:r>
      <w:r>
        <w:rPr>
          <w:rFonts w:hint="eastAsia" w:asciiTheme="minorEastAsia" w:hAnsiTheme="minorEastAsia"/>
          <w:sz w:val="24"/>
          <w:szCs w:val="24"/>
        </w:rPr>
        <w:t>引进香港大学袁国勇院士感染性疾病团队。团队成员来自于香港大学新发传染性疾病国家重点实验室及微生物学系。带头人袁国勇教授是中国工程院士及美国微生物学院医学院院士，香港特别行政区金紫荆星章获得者，银紫荆星章获得者，香港特别行政区太平绅士。2003 年 SARS 爆发期间，袁院士及团队在全球首先发现人类 SARS 冠状病毒，并且最终追踪 SARS 冠状病毒宿主至中国菊头蝠，成功地遏制 SARS 疫情。在发现、鉴定新型病源体的工作中，他和团队处于国际领先地位。 2013 年以来袁教授和团队持续为我国最大的挑战——人类感染禽流感A/H7N9及全世界高度重视的 MERS 冠状病毒及寨卡病毒作出实质性的重大研究成就。2017年，袁教授和团队内两位成员凭借H7N9禽流感相关研究成果获得国家科学进步奖。</w:t>
      </w:r>
    </w:p>
    <w:p>
      <w:pPr>
        <w:rPr>
          <w:rFonts w:asciiTheme="minorEastAsia" w:hAnsiTheme="minorEastAsia"/>
          <w:b/>
          <w:szCs w:val="21"/>
        </w:rPr>
      </w:pPr>
    </w:p>
    <w:p>
      <w:pPr>
        <w:rPr>
          <w:rFonts w:cs="FangSong_GB2312" w:asciiTheme="minorEastAsia" w:hAnsiTheme="minorEastAsia"/>
          <w:b/>
          <w:sz w:val="24"/>
          <w:szCs w:val="24"/>
        </w:rPr>
      </w:pPr>
      <w:r>
        <w:rPr>
          <w:rFonts w:hint="eastAsia" w:cs="FangSong_GB2312" w:asciiTheme="minorEastAsia" w:hAnsiTheme="minorEastAsia"/>
          <w:b/>
          <w:sz w:val="24"/>
          <w:szCs w:val="24"/>
        </w:rPr>
        <w:t>【培训资源】</w:t>
      </w:r>
    </w:p>
    <w:p>
      <w:pPr>
        <w:spacing w:line="360" w:lineRule="auto"/>
        <w:ind w:firstLine="480" w:firstLineChars="200"/>
        <w:rPr>
          <w:rFonts w:cs="FangSong_GB2312" w:asciiTheme="minorEastAsia" w:hAnsiTheme="minorEastAsia"/>
          <w:sz w:val="24"/>
          <w:szCs w:val="24"/>
        </w:rPr>
      </w:pPr>
      <w:r>
        <w:rPr>
          <w:rFonts w:cs="FangSong_GB2312" w:asciiTheme="minorEastAsia" w:hAnsiTheme="minorEastAsia"/>
          <w:sz w:val="24"/>
          <w:szCs w:val="24"/>
        </w:rPr>
        <w:t>自开业以来，医院积极借鉴香港</w:t>
      </w:r>
      <w:r>
        <w:rPr>
          <w:rFonts w:hint="eastAsia" w:cs="FangSong_GB2312" w:asciiTheme="minorEastAsia" w:hAnsiTheme="minorEastAsia"/>
          <w:sz w:val="24"/>
          <w:szCs w:val="24"/>
        </w:rPr>
        <w:t>和</w:t>
      </w:r>
      <w:r>
        <w:rPr>
          <w:rFonts w:cs="FangSong_GB2312" w:asciiTheme="minorEastAsia" w:hAnsiTheme="minorEastAsia"/>
          <w:sz w:val="24"/>
          <w:szCs w:val="24"/>
        </w:rPr>
        <w:t>国际经验，在“办医、管医、行医、就医”四个领域进行全新探索，着力推动多项改革，取得了一定成绩。</w:t>
      </w:r>
      <w:r>
        <w:rPr>
          <w:rFonts w:hint="eastAsia" w:cs="FangSong_GB2312" w:asciiTheme="minorEastAsia" w:hAnsiTheme="minorEastAsia"/>
          <w:sz w:val="24"/>
          <w:szCs w:val="24"/>
        </w:rPr>
        <w:t>同时，作为深港合作的试验田，医院希望将香港大学医学院130余年的沉淀、香港医学专科学院25年的积累带到内地，借助港大深圳医院这一平台，为内地医学人才培养带来创新理念，为内地住院医师规范化培训提供有益借鉴。</w:t>
      </w:r>
    </w:p>
    <w:p>
      <w:pPr>
        <w:spacing w:line="360" w:lineRule="auto"/>
        <w:ind w:firstLine="482" w:firstLineChars="200"/>
        <w:rPr>
          <w:rFonts w:cs="FangSong_GB2312" w:asciiTheme="minorEastAsia" w:hAnsiTheme="minorEastAsia"/>
          <w:sz w:val="24"/>
          <w:szCs w:val="24"/>
        </w:rPr>
      </w:pPr>
      <w:r>
        <w:rPr>
          <w:rFonts w:hint="eastAsia" w:cs="FangSong_GB2312" w:asciiTheme="minorEastAsia" w:hAnsiTheme="minorEastAsia"/>
          <w:b/>
          <w:sz w:val="24"/>
          <w:szCs w:val="24"/>
        </w:rPr>
        <w:t>一、港大附属医院</w:t>
      </w:r>
      <w:r>
        <w:rPr>
          <w:rFonts w:hint="eastAsia" w:cs="FangSong_GB2312" w:asciiTheme="minorEastAsia" w:hAnsiTheme="minorEastAsia"/>
          <w:sz w:val="24"/>
          <w:szCs w:val="24"/>
        </w:rPr>
        <w:t>：作为香港大学附属医院，在医学人才培养方面，医院有着得天独厚的优势：（1）医院可采取</w:t>
      </w:r>
      <w:r>
        <w:rPr>
          <w:rFonts w:hint="eastAsia" w:cs="FangSong_GB2312" w:asciiTheme="minorEastAsia" w:hAnsiTheme="minorEastAsia"/>
          <w:b/>
          <w:sz w:val="24"/>
          <w:szCs w:val="24"/>
        </w:rPr>
        <w:t>中英文双语</w:t>
      </w:r>
      <w:r>
        <w:rPr>
          <w:rFonts w:hint="eastAsia" w:cs="FangSong_GB2312" w:asciiTheme="minorEastAsia" w:hAnsiTheme="minorEastAsia"/>
          <w:sz w:val="24"/>
          <w:szCs w:val="24"/>
        </w:rPr>
        <w:t>带教模式，部分课程由香港教授采用英语教学。（2）医院可提供与香港大学、玛丽医院</w:t>
      </w:r>
      <w:r>
        <w:rPr>
          <w:rFonts w:hint="eastAsia" w:cs="FangSong_GB2312" w:asciiTheme="minorEastAsia" w:hAnsiTheme="minorEastAsia"/>
          <w:b/>
          <w:sz w:val="24"/>
          <w:szCs w:val="24"/>
        </w:rPr>
        <w:t>共享的视像链接平台</w:t>
      </w:r>
      <w:r>
        <w:rPr>
          <w:rFonts w:hint="eastAsia" w:cs="FangSong_GB2312" w:asciiTheme="minorEastAsia" w:hAnsiTheme="minorEastAsia"/>
          <w:sz w:val="24"/>
          <w:szCs w:val="24"/>
        </w:rPr>
        <w:t>，实时观看学术会议、病例讨论、技能操作等。（3）医院可借助香港大学、玛丽医院的平台优势，选派优秀</w:t>
      </w:r>
      <w:r>
        <w:rPr>
          <w:rFonts w:hint="eastAsia" w:cs="FangSong_GB2312" w:asciiTheme="minorEastAsia" w:hAnsiTheme="minorEastAsia"/>
          <w:b/>
          <w:sz w:val="24"/>
          <w:szCs w:val="24"/>
        </w:rPr>
        <w:t>住培医师到香港学习</w:t>
      </w:r>
      <w:r>
        <w:rPr>
          <w:rFonts w:hint="eastAsia" w:cs="FangSong_GB2312" w:asciiTheme="minorEastAsia" w:hAnsiTheme="minorEastAsia"/>
          <w:sz w:val="24"/>
          <w:szCs w:val="24"/>
        </w:rPr>
        <w:t>，开阔学员视野。（4）医院可借鉴香港医专的考核模式，运用在日常考核、出科考核、年度考核工作中，</w:t>
      </w:r>
      <w:r>
        <w:rPr>
          <w:rFonts w:hint="eastAsia" w:cs="FangSong_GB2312" w:asciiTheme="minorEastAsia" w:hAnsiTheme="minorEastAsia"/>
          <w:b/>
          <w:sz w:val="24"/>
          <w:szCs w:val="24"/>
        </w:rPr>
        <w:t>保证培训质量</w:t>
      </w:r>
      <w:r>
        <w:rPr>
          <w:rFonts w:hint="eastAsia" w:cs="FangSong_GB2312" w:asciiTheme="minorEastAsia" w:hAnsiTheme="minorEastAsia"/>
          <w:sz w:val="24"/>
          <w:szCs w:val="24"/>
        </w:rPr>
        <w:t>。（5）医院与香港大学、香港医学专科学院、深圳市卫计委联合签署“</w:t>
      </w:r>
      <w:r>
        <w:rPr>
          <w:rFonts w:hint="eastAsia" w:cs="FangSong_GB2312" w:asciiTheme="minorEastAsia" w:hAnsiTheme="minorEastAsia"/>
          <w:b/>
          <w:sz w:val="24"/>
          <w:szCs w:val="24"/>
        </w:rPr>
        <w:t>深港专科医师培训项目</w:t>
      </w:r>
      <w:r>
        <w:rPr>
          <w:rFonts w:hint="eastAsia" w:cs="FangSong_GB2312" w:asciiTheme="minorEastAsia" w:hAnsiTheme="minorEastAsia"/>
          <w:sz w:val="24"/>
          <w:szCs w:val="24"/>
        </w:rPr>
        <w:t>”，共同合作培养专科医疗人才，搭建“深港医学专科培训中心”。</w:t>
      </w:r>
    </w:p>
    <w:p>
      <w:pPr>
        <w:spacing w:line="360" w:lineRule="auto"/>
        <w:ind w:firstLine="482" w:firstLineChars="200"/>
        <w:jc w:val="left"/>
        <w:rPr>
          <w:rFonts w:cs="FangSong_GB2312" w:asciiTheme="minorEastAsia" w:hAnsiTheme="minorEastAsia"/>
          <w:sz w:val="24"/>
          <w:szCs w:val="24"/>
          <w:highlight w:val="none"/>
        </w:rPr>
      </w:pPr>
      <w:r>
        <w:rPr>
          <w:rFonts w:hint="eastAsia" w:cs="FangSong_GB2312" w:asciiTheme="minorEastAsia" w:hAnsiTheme="minorEastAsia"/>
          <w:b/>
          <w:sz w:val="24"/>
          <w:szCs w:val="24"/>
        </w:rPr>
        <w:t>二、教师团队：</w:t>
      </w:r>
      <w:r>
        <w:rPr>
          <w:rFonts w:hint="eastAsia" w:cs="FangSong_GB2312" w:asciiTheme="minorEastAsia" w:hAnsiTheme="minorEastAsia"/>
          <w:sz w:val="24"/>
          <w:szCs w:val="24"/>
        </w:rPr>
        <w:t>医院各科主管均由香港大学的教授出任，来自香港大学、玛丽医院的专家来院参与临</w:t>
      </w:r>
      <w:r>
        <w:rPr>
          <w:rFonts w:hint="eastAsia" w:cs="FangSong_GB2312" w:asciiTheme="minorEastAsia" w:hAnsiTheme="minorEastAsia"/>
          <w:sz w:val="24"/>
          <w:szCs w:val="24"/>
          <w:highlight w:val="none"/>
        </w:rPr>
        <w:t>床诊疗、教学，严格把控教学质量。自2014年起，医院每年举行香港大学带教老师培训，至今已有169名员工参加学习，超过100名员工获聘成为香港大学荣誉副教授、助理教授、导师。</w:t>
      </w:r>
    </w:p>
    <w:p>
      <w:pPr>
        <w:spacing w:line="360" w:lineRule="auto"/>
        <w:ind w:firstLine="480" w:firstLineChars="200"/>
        <w:rPr>
          <w:rFonts w:cs="FangSong_GB2312" w:asciiTheme="minorEastAsia" w:hAnsiTheme="minorEastAsia"/>
          <w:sz w:val="24"/>
          <w:szCs w:val="24"/>
        </w:rPr>
      </w:pPr>
      <w:r>
        <w:rPr>
          <w:rFonts w:hint="eastAsia" w:cs="FangSong_GB2312" w:asciiTheme="minorEastAsia" w:hAnsiTheme="minorEastAsia"/>
          <w:sz w:val="24"/>
          <w:szCs w:val="24"/>
          <w:highlight w:val="none"/>
        </w:rPr>
        <w:t>三、</w:t>
      </w:r>
      <w:r>
        <w:rPr>
          <w:rFonts w:hint="eastAsia" w:cs="FangSong_GB2312" w:asciiTheme="minorEastAsia" w:hAnsiTheme="minorEastAsia"/>
          <w:b/>
          <w:sz w:val="24"/>
          <w:szCs w:val="24"/>
          <w:highlight w:val="none"/>
        </w:rPr>
        <w:t>学术平台：</w:t>
      </w:r>
      <w:r>
        <w:rPr>
          <w:rFonts w:hint="eastAsia" w:cs="FangSong_GB2312" w:asciiTheme="minorEastAsia" w:hAnsiTheme="minorEastAsia"/>
          <w:sz w:val="24"/>
          <w:szCs w:val="24"/>
          <w:highlight w:val="none"/>
        </w:rPr>
        <w:t>医院高度重视并积极开展各类培训，提供丰富多样的教学培训课程。截至2019 年10 月：（1）举办</w:t>
      </w:r>
      <w:r>
        <w:rPr>
          <w:rFonts w:hint="eastAsia" w:cs="FangSong_GB2312" w:asciiTheme="minorEastAsia" w:hAnsiTheme="minorEastAsia"/>
          <w:b/>
          <w:sz w:val="24"/>
          <w:szCs w:val="24"/>
          <w:highlight w:val="none"/>
        </w:rPr>
        <w:t>院内课程超过900</w:t>
      </w:r>
      <w:r>
        <w:rPr>
          <w:rFonts w:hint="eastAsia" w:cs="FangSong_GB2312" w:asciiTheme="minorEastAsia" w:hAnsiTheme="minorEastAsia"/>
          <w:sz w:val="24"/>
          <w:szCs w:val="24"/>
          <w:highlight w:val="none"/>
        </w:rPr>
        <w:t>场，12万余人次参加；（2）累计举办</w:t>
      </w:r>
      <w:r>
        <w:rPr>
          <w:rFonts w:hint="eastAsia" w:cs="FangSong_GB2312" w:asciiTheme="minorEastAsia" w:hAnsiTheme="minorEastAsia"/>
          <w:b/>
          <w:sz w:val="24"/>
          <w:szCs w:val="24"/>
          <w:highlight w:val="none"/>
        </w:rPr>
        <w:t>继续医学教育项目</w:t>
      </w:r>
      <w:r>
        <w:rPr>
          <w:rFonts w:hint="eastAsia" w:cs="FangSong_GB2312" w:asciiTheme="minorEastAsia" w:hAnsiTheme="minorEastAsia"/>
          <w:sz w:val="24"/>
          <w:szCs w:val="24"/>
          <w:highlight w:val="none"/>
        </w:rPr>
        <w:t>国家级60 项、省级116项、市级83 项。（3）为提升住培医师外语综合能力，每月邀请香港教授</w:t>
      </w:r>
      <w:r>
        <w:rPr>
          <w:rFonts w:hint="eastAsia" w:cs="FangSong_GB2312" w:asciiTheme="minorEastAsia" w:hAnsiTheme="minorEastAsia"/>
          <w:b/>
          <w:sz w:val="24"/>
          <w:szCs w:val="24"/>
          <w:highlight w:val="none"/>
        </w:rPr>
        <w:t>开展英文专题授课</w:t>
      </w:r>
      <w:r>
        <w:rPr>
          <w:rFonts w:hint="eastAsia" w:cs="FangSong_GB2312" w:asciiTheme="minorEastAsia" w:hAnsiTheme="minorEastAsia"/>
          <w:sz w:val="24"/>
          <w:szCs w:val="24"/>
          <w:highlight w:val="none"/>
        </w:rPr>
        <w:t>。（4）各科室定期与香港或国际著名机构联合举办</w:t>
      </w:r>
      <w:r>
        <w:rPr>
          <w:rFonts w:hint="eastAsia" w:cs="FangSong_GB2312" w:asciiTheme="minorEastAsia" w:hAnsiTheme="minorEastAsia"/>
          <w:b/>
          <w:sz w:val="24"/>
          <w:szCs w:val="24"/>
          <w:highlight w:val="none"/>
        </w:rPr>
        <w:t>远程视频学术会议</w:t>
      </w:r>
      <w:r>
        <w:rPr>
          <w:rFonts w:hint="eastAsia" w:cs="FangSong_GB2312" w:asciiTheme="minorEastAsia" w:hAnsiTheme="minorEastAsia"/>
          <w:sz w:val="24"/>
          <w:szCs w:val="24"/>
        </w:rPr>
        <w:t>，也邀请知名专家来院讲学，共享国际交流资源平台。</w:t>
      </w:r>
    </w:p>
    <w:p>
      <w:pPr>
        <w:spacing w:line="360" w:lineRule="auto"/>
        <w:ind w:firstLine="482" w:firstLineChars="200"/>
        <w:rPr>
          <w:rFonts w:cs="FangSong_GB2312" w:asciiTheme="minorEastAsia" w:hAnsiTheme="minorEastAsia"/>
          <w:sz w:val="24"/>
          <w:szCs w:val="24"/>
        </w:rPr>
      </w:pPr>
      <w:r>
        <w:rPr>
          <w:rFonts w:hint="eastAsia" w:cs="FangSong_GB2312" w:asciiTheme="minorEastAsia" w:hAnsiTheme="minorEastAsia"/>
          <w:b/>
          <w:sz w:val="24"/>
          <w:szCs w:val="24"/>
        </w:rPr>
        <w:t>四、临床技能培训中心：</w:t>
      </w:r>
      <w:r>
        <w:rPr>
          <w:rFonts w:hint="eastAsia" w:cs="FangSong_GB2312" w:asciiTheme="minorEastAsia" w:hAnsiTheme="minorEastAsia"/>
          <w:sz w:val="24"/>
          <w:szCs w:val="24"/>
        </w:rPr>
        <w:t>医院于2016年建成临床模拟培训中心，开展技能培训课程，为内地首家引进美国外科医学院创伤委员会的“高级创伤生命支持（ATLS）训练课程”。2017年，医院获政府3000万元的临床技能培训中心二期建设财政支持，进一步扩建临床技能培训中心，配置基础训练模块、高端训练模块等各类仪器设备，建成后总建筑面积将达到3000平方米。</w:t>
      </w:r>
    </w:p>
    <w:p>
      <w:pPr>
        <w:shd w:val="clear" w:color="auto" w:fill="FFFFFF"/>
        <w:spacing w:line="360" w:lineRule="auto"/>
        <w:ind w:firstLine="482" w:firstLineChars="200"/>
        <w:rPr>
          <w:rFonts w:cs="FangSong_GB2312" w:asciiTheme="minorEastAsia" w:hAnsiTheme="minorEastAsia"/>
          <w:b/>
          <w:color w:val="000000" w:themeColor="text1"/>
          <w:sz w:val="24"/>
          <w:szCs w:val="24"/>
        </w:rPr>
      </w:pPr>
      <w:r>
        <w:rPr>
          <w:rFonts w:hint="eastAsia" w:cs="FangSong_GB2312" w:asciiTheme="minorEastAsia" w:hAnsiTheme="minorEastAsia"/>
          <w:b/>
          <w:sz w:val="24"/>
          <w:szCs w:val="24"/>
        </w:rPr>
        <w:t>五、教研平</w:t>
      </w:r>
      <w:r>
        <w:rPr>
          <w:rFonts w:hint="eastAsia" w:cs="FangSong_GB2312" w:asciiTheme="minorEastAsia" w:hAnsiTheme="minorEastAsia"/>
          <w:b/>
          <w:color w:val="000000" w:themeColor="text1"/>
          <w:sz w:val="24"/>
          <w:szCs w:val="24"/>
        </w:rPr>
        <w:t>台：</w:t>
      </w:r>
    </w:p>
    <w:p>
      <w:pPr>
        <w:spacing w:line="360" w:lineRule="auto"/>
        <w:ind w:firstLine="482" w:firstLineChars="200"/>
        <w:rPr>
          <w:sz w:val="24"/>
          <w:szCs w:val="24"/>
        </w:rPr>
      </w:pPr>
      <w:r>
        <w:rPr>
          <w:rFonts w:hint="eastAsia" w:cs="FangSong_GB2312" w:asciiTheme="minorEastAsia" w:hAnsiTheme="minorEastAsia"/>
          <w:b/>
          <w:color w:val="000000" w:themeColor="text1"/>
          <w:sz w:val="24"/>
          <w:szCs w:val="24"/>
        </w:rPr>
        <w:t>（1）科研发展：</w:t>
      </w:r>
      <w:r>
        <w:rPr>
          <w:rFonts w:hint="eastAsia" w:cs="FangSong_GB2312" w:asciiTheme="minorEastAsia" w:hAnsiTheme="minorEastAsia"/>
          <w:color w:val="000000" w:themeColor="text1"/>
          <w:sz w:val="24"/>
          <w:szCs w:val="24"/>
        </w:rPr>
        <w:t>医院近年来科研经费持续增长，重点项目每年皆有新突破。截至 2019年8月，医院作为项目/课题承担单位主持各级科技计划项目共计147项，获得经费资助共计3233.42万元[不包括重点实验室/工程实验室等科研平台专项经费、三名工程团队资助经费。</w:t>
      </w:r>
      <w:r>
        <w:rPr>
          <w:rFonts w:hint="eastAsia" w:cs="FangSong_GB2312" w:asciiTheme="minorEastAsia" w:hAnsiTheme="minorEastAsia"/>
          <w:b/>
          <w:color w:val="000000" w:themeColor="text1"/>
          <w:sz w:val="24"/>
          <w:szCs w:val="24"/>
        </w:rPr>
        <w:t>（2）三名工程：</w:t>
      </w:r>
      <w:r>
        <w:rPr>
          <w:rFonts w:hint="eastAsia" w:cs="FangSong_GB2312" w:asciiTheme="minorEastAsia" w:hAnsiTheme="minorEastAsia"/>
          <w:color w:val="000000" w:themeColor="text1"/>
          <w:sz w:val="24"/>
          <w:szCs w:val="24"/>
        </w:rPr>
        <w:t>引进9个“三名工程”高层次医学团队，均为境外医学团队，共获1.1亿元专项经费支持，全面提升医院医疗卫生质量，打造国际医疗中心、广泛</w:t>
      </w:r>
      <w:r>
        <w:rPr>
          <w:rFonts w:hint="eastAsia" w:cs="FangSong_GB2312" w:asciiTheme="minorEastAsia" w:hAnsiTheme="minorEastAsia"/>
          <w:color w:val="000000" w:themeColor="text1"/>
          <w:sz w:val="24"/>
          <w:szCs w:val="24"/>
          <w:lang w:eastAsia="zh-CN"/>
        </w:rPr>
        <w:t>招揽</w:t>
      </w:r>
      <w:r>
        <w:rPr>
          <w:rFonts w:hint="eastAsia" w:cs="FangSong_GB2312" w:asciiTheme="minorEastAsia" w:hAnsiTheme="minorEastAsia"/>
          <w:color w:val="000000" w:themeColor="text1"/>
          <w:sz w:val="24"/>
          <w:szCs w:val="24"/>
        </w:rPr>
        <w:t>医疗科研高端人才。</w:t>
      </w:r>
      <w:r>
        <w:rPr>
          <w:rFonts w:hint="eastAsia" w:cs="FangSong_GB2312" w:asciiTheme="minorEastAsia" w:hAnsiTheme="minorEastAsia"/>
          <w:b/>
          <w:color w:val="000000" w:themeColor="text1"/>
          <w:sz w:val="24"/>
          <w:szCs w:val="24"/>
        </w:rPr>
        <w:t>（3）科技成果：</w:t>
      </w:r>
      <w:r>
        <w:rPr>
          <w:rFonts w:hint="eastAsia" w:cs="FangSong_GB2312" w:asciiTheme="minorEastAsia" w:hAnsiTheme="minorEastAsia"/>
          <w:bCs/>
          <w:color w:val="000000" w:themeColor="text1"/>
          <w:sz w:val="24"/>
          <w:szCs w:val="24"/>
        </w:rPr>
        <w:t>科技成果数量及质量稳步提升，累计以第一作者或通讯作者署名单位发表代表性论文697篇，其中SCIE收录169篇，IF＞10的18篇；发表于核心期刊论文199篇；累计申请发明专利28项，授权2项，申请实用新型专利14，授权8项；软件著作权登记2项。专利成果转让1项。</w:t>
      </w:r>
      <w:r>
        <w:rPr>
          <w:rFonts w:hint="eastAsia" w:cs="FangSong_GB2312" w:asciiTheme="minorEastAsia" w:hAnsiTheme="minorEastAsia"/>
          <w:b/>
          <w:color w:val="000000" w:themeColor="text1"/>
          <w:sz w:val="24"/>
          <w:szCs w:val="24"/>
        </w:rPr>
        <w:t>（4）科研条件建设：</w:t>
      </w:r>
      <w:r>
        <w:rPr>
          <w:rFonts w:hint="eastAsia" w:cs="FangSong_GB2312" w:asciiTheme="minorEastAsia" w:hAnsiTheme="minorEastAsia"/>
          <w:color w:val="000000" w:themeColor="text1"/>
          <w:sz w:val="24"/>
          <w:szCs w:val="24"/>
        </w:rPr>
        <w:t>医院现建有市级重点实验室、市级工程实验室各2项，2018年新增获批深圳市药物临床试验公共服务平台，深圳市肝病临床医学研究中心被纳入深圳市首批市级临床医学中心建设单位；成为四川华西国家老年病临床研究中心核心成员单位。香港大学深圳医院是香港大学在深圳的研究基地之一，可共享香港大学李嘉诚医学院科研设施。</w:t>
      </w:r>
      <w:r>
        <w:rPr>
          <w:rFonts w:hint="eastAsia" w:cs="FangSong_GB2312" w:asciiTheme="minorEastAsia" w:hAnsiTheme="minorEastAsia"/>
          <w:b/>
          <w:color w:val="000000" w:themeColor="text1"/>
          <w:sz w:val="24"/>
          <w:szCs w:val="24"/>
        </w:rPr>
        <w:t>（5）临床试验</w:t>
      </w:r>
      <w:r>
        <w:rPr>
          <w:rFonts w:hint="eastAsia" w:cs="FangSong_GB2312" w:asciiTheme="minorEastAsia" w:hAnsiTheme="minorEastAsia"/>
          <w:color w:val="000000" w:themeColor="text1"/>
          <w:sz w:val="24"/>
          <w:szCs w:val="24"/>
        </w:rPr>
        <w:t>：2017年5月，医院获国家药物临床试验机构资格认定，可开展药物、器械、体外诊断试剂等临床试验，已承接国际多中心临床试验项目。（6）</w:t>
      </w:r>
      <w:r>
        <w:rPr>
          <w:rFonts w:hint="eastAsia" w:cs="FangSong_GB2312" w:asciiTheme="minorEastAsia" w:hAnsiTheme="minorEastAsia"/>
          <w:b/>
          <w:color w:val="000000" w:themeColor="text1"/>
          <w:sz w:val="24"/>
          <w:szCs w:val="24"/>
        </w:rPr>
        <w:t>博士后基地：</w:t>
      </w:r>
      <w:r>
        <w:rPr>
          <w:rFonts w:hint="eastAsia"/>
          <w:sz w:val="24"/>
          <w:szCs w:val="24"/>
        </w:rPr>
        <w:t>医院于2018年批准成为深圳市博士后创新实践基地，目前联合“中国科学院深圳先进技术研究院”等流动站联合招收培养博士后。</w:t>
      </w:r>
    </w:p>
    <w:p>
      <w:pPr>
        <w:shd w:val="clear" w:color="auto" w:fill="FFFFFF"/>
        <w:spacing w:line="360" w:lineRule="auto"/>
        <w:ind w:firstLine="480" w:firstLineChars="200"/>
        <w:rPr>
          <w:rFonts w:cs="FangSong_GB2312" w:asciiTheme="minorEastAsia" w:hAnsiTheme="minorEastAsia"/>
          <w:color w:val="000000" w:themeColor="text1"/>
          <w:sz w:val="24"/>
          <w:szCs w:val="24"/>
        </w:rPr>
      </w:pPr>
    </w:p>
    <w:p>
      <w:pPr>
        <w:spacing w:line="360" w:lineRule="auto"/>
        <w:ind w:firstLine="482" w:firstLineChars="200"/>
        <w:rPr>
          <w:rFonts w:cs="FangSong_GB2312" w:asciiTheme="minorEastAsia" w:hAnsiTheme="minorEastAsia"/>
          <w:color w:val="00B050"/>
          <w:sz w:val="24"/>
          <w:szCs w:val="24"/>
        </w:rPr>
      </w:pPr>
      <w:r>
        <w:rPr>
          <w:rFonts w:hint="eastAsia" w:cs="FangSong_GB2312" w:asciiTheme="minorEastAsia" w:hAnsiTheme="minorEastAsia"/>
          <w:b/>
          <w:color w:val="000000" w:themeColor="text1"/>
          <w:sz w:val="24"/>
          <w:szCs w:val="24"/>
        </w:rPr>
        <w:t>六、学生交流：</w:t>
      </w:r>
      <w:r>
        <w:rPr>
          <w:rFonts w:hint="eastAsia" w:cs="FangSong_GB2312" w:asciiTheme="minorEastAsia" w:hAnsiTheme="minorEastAsia"/>
          <w:color w:val="000000" w:themeColor="text1"/>
          <w:sz w:val="24"/>
          <w:szCs w:val="24"/>
        </w:rPr>
        <w:t>作为香港大学附属医院，医院自2015年起每年接收超过600名香港大学的医学、护理、中医、药学学生来院学习。同时，身为高等医学院校教学医院，医院每年接收超过100名来自约翰·霍普金斯大学、加利福尼亚大学、诺丁汉大学、香港中文大学、香港理工大学、中国医科大学、中山大学、暨南大学等国内外知名院校学生来院学习。良好的国际化平台，能充分促进各方学生的互动交流。</w:t>
      </w:r>
    </w:p>
    <w:p>
      <w:pPr>
        <w:rPr>
          <w:rFonts w:asciiTheme="minorEastAsia" w:hAnsiTheme="minorEastAsia"/>
          <w:b/>
          <w:szCs w:val="21"/>
        </w:rPr>
      </w:pPr>
    </w:p>
    <w:p>
      <w:pPr>
        <w:jc w:val="left"/>
        <w:rPr>
          <w:rFonts w:cs="FangSong_GB2312" w:asciiTheme="minorEastAsia" w:hAnsiTheme="minorEastAsia"/>
          <w:b/>
          <w:sz w:val="24"/>
          <w:szCs w:val="24"/>
        </w:rPr>
      </w:pPr>
      <w:r>
        <w:rPr>
          <w:rFonts w:hint="eastAsia" w:cs="FangSong_GB2312" w:asciiTheme="minorEastAsia" w:hAnsiTheme="minorEastAsia"/>
          <w:b/>
          <w:sz w:val="24"/>
          <w:szCs w:val="24"/>
        </w:rPr>
        <w:t>【招生概况】</w:t>
      </w:r>
    </w:p>
    <w:p>
      <w:pPr>
        <w:spacing w:line="360" w:lineRule="auto"/>
        <w:ind w:firstLine="482" w:firstLineChars="200"/>
        <w:rPr>
          <w:rFonts w:cs="FangSong_GB2312" w:asciiTheme="minorEastAsia" w:hAnsiTheme="minorEastAsia"/>
          <w:b/>
          <w:color w:val="000000" w:themeColor="text1"/>
          <w:sz w:val="24"/>
          <w:szCs w:val="24"/>
        </w:rPr>
      </w:pPr>
      <w:r>
        <w:rPr>
          <w:rFonts w:hint="eastAsia" w:cs="FangSong_GB2312" w:asciiTheme="minorEastAsia" w:hAnsiTheme="minorEastAsia"/>
          <w:b/>
          <w:color w:val="000000" w:themeColor="text1"/>
          <w:sz w:val="24"/>
          <w:szCs w:val="24"/>
        </w:rPr>
        <w:t>一、招收对象及条件</w:t>
      </w:r>
    </w:p>
    <w:p>
      <w:pPr>
        <w:spacing w:line="360" w:lineRule="auto"/>
        <w:ind w:firstLine="480" w:firstLineChars="200"/>
        <w:rPr>
          <w:rFonts w:cs="FangSong_GB2312" w:asciiTheme="minorEastAsia" w:hAnsiTheme="minorEastAsia"/>
          <w:color w:val="000000" w:themeColor="text1"/>
          <w:sz w:val="24"/>
          <w:szCs w:val="24"/>
        </w:rPr>
      </w:pPr>
      <w:r>
        <w:rPr>
          <w:rFonts w:hint="eastAsia" w:cs="FangSong_GB2312" w:asciiTheme="minorEastAsia" w:hAnsiTheme="minorEastAsia"/>
          <w:sz w:val="24"/>
          <w:szCs w:val="24"/>
        </w:rPr>
        <w:t>（一）</w:t>
      </w:r>
      <w:r>
        <w:rPr>
          <w:rFonts w:hint="eastAsia" w:cs="FangSong_GB2312" w:asciiTheme="minorEastAsia" w:hAnsiTheme="minorEastAsia"/>
          <w:color w:val="000000" w:themeColor="text1"/>
          <w:sz w:val="24"/>
          <w:szCs w:val="24"/>
        </w:rPr>
        <w:t>符合《2019年深圳市住院医师规范化培训招收工作方案》中有关招生对象基本条件的要求；</w:t>
      </w:r>
    </w:p>
    <w:p>
      <w:pPr>
        <w:spacing w:line="360" w:lineRule="auto"/>
        <w:ind w:firstLine="480" w:firstLineChars="200"/>
        <w:rPr>
          <w:rFonts w:cs="FangSong_GB2312" w:asciiTheme="minorEastAsia" w:hAnsiTheme="minorEastAsia"/>
          <w:color w:val="000000" w:themeColor="text1"/>
          <w:sz w:val="24"/>
          <w:szCs w:val="24"/>
        </w:rPr>
      </w:pPr>
      <w:r>
        <w:rPr>
          <w:rFonts w:hint="eastAsia" w:cs="FangSong_GB2312" w:asciiTheme="minorEastAsia" w:hAnsiTheme="minorEastAsia"/>
          <w:color w:val="000000" w:themeColor="text1"/>
          <w:sz w:val="24"/>
          <w:szCs w:val="24"/>
        </w:rPr>
        <w:t>（二）学历要求必须为全日制，通过英语四级；</w:t>
      </w:r>
    </w:p>
    <w:p>
      <w:pPr>
        <w:spacing w:line="360" w:lineRule="auto"/>
        <w:ind w:firstLine="480" w:firstLineChars="200"/>
        <w:rPr>
          <w:rFonts w:cs="FangSong_GB2312" w:asciiTheme="minorEastAsia" w:hAnsiTheme="minorEastAsia"/>
          <w:color w:val="000000" w:themeColor="text1"/>
          <w:sz w:val="24"/>
          <w:szCs w:val="24"/>
        </w:rPr>
      </w:pPr>
      <w:r>
        <w:rPr>
          <w:rFonts w:hint="eastAsia" w:cs="FangSong_GB2312" w:asciiTheme="minorEastAsia" w:hAnsiTheme="minorEastAsia"/>
          <w:color w:val="000000" w:themeColor="text1"/>
          <w:sz w:val="24"/>
          <w:szCs w:val="24"/>
        </w:rPr>
        <w:t>（三）应届毕业生或近3年毕业（即2018年6月后毕业）；</w:t>
      </w:r>
    </w:p>
    <w:p>
      <w:pPr>
        <w:spacing w:line="360" w:lineRule="auto"/>
        <w:ind w:firstLine="480" w:firstLineChars="200"/>
        <w:rPr>
          <w:rFonts w:cs="FangSong_GB2312" w:asciiTheme="minorEastAsia" w:hAnsiTheme="minorEastAsia"/>
          <w:color w:val="000000" w:themeColor="text1"/>
          <w:sz w:val="24"/>
          <w:szCs w:val="24"/>
        </w:rPr>
      </w:pPr>
      <w:r>
        <w:rPr>
          <w:rFonts w:hint="eastAsia" w:cs="FangSong_GB2312" w:asciiTheme="minorEastAsia" w:hAnsiTheme="minorEastAsia"/>
          <w:color w:val="000000" w:themeColor="text1"/>
          <w:sz w:val="24"/>
          <w:szCs w:val="24"/>
        </w:rPr>
        <w:t>（四）单位委派人员毕业时间为2017年6月之后；</w:t>
      </w:r>
    </w:p>
    <w:p>
      <w:pPr>
        <w:spacing w:line="360" w:lineRule="auto"/>
        <w:ind w:firstLine="480" w:firstLineChars="200"/>
        <w:rPr>
          <w:rFonts w:ascii="宋体" w:hAnsi="宋体" w:cs="宋体"/>
          <w:b/>
          <w:sz w:val="28"/>
          <w:szCs w:val="28"/>
        </w:rPr>
      </w:pPr>
      <w:r>
        <w:rPr>
          <w:rFonts w:hint="eastAsia" w:cs="FangSong_GB2312" w:asciiTheme="minorEastAsia" w:hAnsiTheme="minorEastAsia"/>
          <w:color w:val="000000" w:themeColor="text1"/>
          <w:sz w:val="24"/>
          <w:szCs w:val="24"/>
        </w:rPr>
        <w:t>（五）身心健康，符合《广东省事业单位公开招聘人员体检通用标准》，自愿参加规范化培训，服从医院工作安排；</w:t>
      </w:r>
    </w:p>
    <w:p>
      <w:pPr>
        <w:spacing w:line="360" w:lineRule="auto"/>
        <w:ind w:firstLine="482" w:firstLineChars="200"/>
        <w:rPr>
          <w:rFonts w:cs="FangSong_GB2312" w:asciiTheme="minorEastAsia" w:hAnsiTheme="minorEastAsia"/>
          <w:b/>
          <w:color w:val="000000" w:themeColor="text1"/>
          <w:sz w:val="24"/>
          <w:szCs w:val="24"/>
        </w:rPr>
      </w:pPr>
      <w:r>
        <w:rPr>
          <w:rFonts w:hint="eastAsia" w:cs="FangSong_GB2312" w:asciiTheme="minorEastAsia" w:hAnsiTheme="minorEastAsia"/>
          <w:b/>
          <w:color w:val="000000" w:themeColor="text1"/>
          <w:sz w:val="24"/>
          <w:szCs w:val="24"/>
        </w:rPr>
        <w:t>二、培训年限</w:t>
      </w:r>
    </w:p>
    <w:p>
      <w:pPr>
        <w:spacing w:line="360" w:lineRule="auto"/>
        <w:ind w:firstLine="480" w:firstLineChars="200"/>
        <w:rPr>
          <w:rFonts w:cs="FangSong_GB2312" w:asciiTheme="minorEastAsia" w:hAnsiTheme="minorEastAsia"/>
          <w:sz w:val="24"/>
          <w:szCs w:val="24"/>
        </w:rPr>
      </w:pPr>
      <w:r>
        <w:rPr>
          <w:rFonts w:hint="eastAsia" w:cs="FangSong_GB2312" w:asciiTheme="minorEastAsia" w:hAnsiTheme="minorEastAsia"/>
          <w:sz w:val="24"/>
          <w:szCs w:val="24"/>
        </w:rPr>
        <w:t>我院住院医师规范化培训的招生条件及招录程序根据深圳市的公告执行。住培年限为3年，如符合以下条件可</w:t>
      </w:r>
      <w:r>
        <w:rPr>
          <w:rFonts w:hint="eastAsia" w:cs="FangSong_GB2312" w:asciiTheme="minorEastAsia" w:hAnsiTheme="minorEastAsia"/>
          <w:b/>
          <w:sz w:val="24"/>
          <w:szCs w:val="24"/>
          <w:u w:val="single"/>
        </w:rPr>
        <w:t>提出减免申请，申请审核通过后，须参加专业基地的临床能力测试，测试通过者可获得相应的减免</w:t>
      </w:r>
      <w:r>
        <w:rPr>
          <w:rFonts w:hint="eastAsia" w:cs="FangSong_GB2312" w:asciiTheme="minorEastAsia" w:hAnsiTheme="minorEastAsia"/>
          <w:sz w:val="24"/>
          <w:szCs w:val="24"/>
        </w:rPr>
        <w:t>：</w:t>
      </w:r>
    </w:p>
    <w:p>
      <w:pPr>
        <w:spacing w:line="360" w:lineRule="auto"/>
        <w:ind w:firstLine="482" w:firstLineChars="200"/>
        <w:rPr>
          <w:rFonts w:cs="FangSong_GB2312" w:asciiTheme="minorEastAsia" w:hAnsiTheme="minorEastAsia"/>
          <w:sz w:val="24"/>
          <w:szCs w:val="24"/>
        </w:rPr>
      </w:pPr>
      <w:r>
        <w:rPr>
          <w:rFonts w:hint="eastAsia" w:cs="FangSong_GB2312" w:asciiTheme="minorEastAsia" w:hAnsiTheme="minorEastAsia"/>
          <w:b/>
          <w:sz w:val="24"/>
          <w:szCs w:val="24"/>
        </w:rPr>
        <w:t>（一）全日制专业型/七年制硕士：</w:t>
      </w:r>
      <w:r>
        <w:rPr>
          <w:rFonts w:hint="eastAsia" w:cs="FangSong_GB2312" w:asciiTheme="minorEastAsia" w:hAnsiTheme="minorEastAsia"/>
          <w:sz w:val="24"/>
          <w:szCs w:val="24"/>
        </w:rPr>
        <w:t>申请需提供</w:t>
      </w:r>
      <w:r>
        <w:rPr>
          <w:rFonts w:hint="eastAsia" w:cs="FangSong_GB2312" w:asciiTheme="minorEastAsia" w:hAnsiTheme="minorEastAsia"/>
          <w:bCs/>
          <w:sz w:val="24"/>
          <w:szCs w:val="24"/>
        </w:rPr>
        <w:t>学历证明及在读期间的轮转培训证明、导师及联系方式</w:t>
      </w:r>
      <w:r>
        <w:rPr>
          <w:rFonts w:hint="eastAsia" w:cs="FangSong_GB2312" w:asciiTheme="minorEastAsia" w:hAnsiTheme="minorEastAsia"/>
          <w:sz w:val="24"/>
          <w:szCs w:val="24"/>
        </w:rPr>
        <w:t>【此类</w:t>
      </w:r>
      <w:r>
        <w:rPr>
          <w:rFonts w:hint="eastAsia" w:cs="FangSong_GB2312" w:asciiTheme="minorEastAsia" w:hAnsiTheme="minorEastAsia"/>
          <w:b/>
          <w:bCs/>
          <w:sz w:val="24"/>
          <w:szCs w:val="24"/>
        </w:rPr>
        <w:t>最多</w:t>
      </w:r>
      <w:r>
        <w:rPr>
          <w:rFonts w:hint="eastAsia" w:cs="FangSong_GB2312" w:asciiTheme="minorEastAsia" w:hAnsiTheme="minorEastAsia"/>
          <w:sz w:val="24"/>
          <w:szCs w:val="24"/>
        </w:rPr>
        <w:t>可予减免1年，但测试不通过者不获减免】。</w:t>
      </w:r>
    </w:p>
    <w:p>
      <w:pPr>
        <w:spacing w:line="360" w:lineRule="auto"/>
        <w:ind w:firstLine="482" w:firstLineChars="200"/>
        <w:rPr>
          <w:rFonts w:cs="FangSong_GB2312" w:asciiTheme="minorEastAsia" w:hAnsiTheme="minorEastAsia"/>
          <w:sz w:val="24"/>
          <w:szCs w:val="24"/>
        </w:rPr>
      </w:pPr>
      <w:r>
        <w:rPr>
          <w:rFonts w:hint="eastAsia" w:cs="FangSong_GB2312" w:asciiTheme="minorEastAsia" w:hAnsiTheme="minorEastAsia"/>
          <w:b/>
          <w:sz w:val="24"/>
          <w:szCs w:val="24"/>
        </w:rPr>
        <w:t>（二）全日制专业型/八年制博士</w:t>
      </w:r>
      <w:r>
        <w:rPr>
          <w:rFonts w:hint="eastAsia" w:cs="FangSong_GB2312" w:asciiTheme="minorEastAsia" w:hAnsiTheme="minorEastAsia"/>
          <w:sz w:val="24"/>
          <w:szCs w:val="24"/>
        </w:rPr>
        <w:t>：申请需提供</w:t>
      </w:r>
      <w:r>
        <w:rPr>
          <w:rFonts w:hint="eastAsia" w:cs="FangSong_GB2312" w:asciiTheme="minorEastAsia" w:hAnsiTheme="minorEastAsia"/>
          <w:bCs/>
          <w:sz w:val="24"/>
          <w:szCs w:val="24"/>
        </w:rPr>
        <w:t>学历证明及在读期间的轮转培训证明、导师及联系方式</w:t>
      </w:r>
      <w:r>
        <w:rPr>
          <w:rFonts w:hint="eastAsia" w:cs="FangSong_GB2312" w:asciiTheme="minorEastAsia" w:hAnsiTheme="minorEastAsia"/>
          <w:sz w:val="24"/>
          <w:szCs w:val="24"/>
        </w:rPr>
        <w:t>【此类</w:t>
      </w:r>
      <w:r>
        <w:rPr>
          <w:rFonts w:hint="eastAsia" w:cs="FangSong_GB2312" w:asciiTheme="minorEastAsia" w:hAnsiTheme="minorEastAsia"/>
          <w:b/>
          <w:bCs/>
          <w:sz w:val="24"/>
          <w:szCs w:val="24"/>
        </w:rPr>
        <w:t>最多</w:t>
      </w:r>
      <w:r>
        <w:rPr>
          <w:rFonts w:hint="eastAsia" w:cs="FangSong_GB2312" w:asciiTheme="minorEastAsia" w:hAnsiTheme="minorEastAsia"/>
          <w:sz w:val="24"/>
          <w:szCs w:val="24"/>
        </w:rPr>
        <w:t>可予减免2年，但测试不通过者不获减免】。</w:t>
      </w:r>
    </w:p>
    <w:p>
      <w:pPr>
        <w:spacing w:line="360" w:lineRule="auto"/>
        <w:ind w:firstLine="482" w:firstLineChars="200"/>
        <w:rPr>
          <w:rFonts w:cs="FangSong_GB2312" w:asciiTheme="minorEastAsia" w:hAnsiTheme="minorEastAsia"/>
          <w:sz w:val="24"/>
          <w:szCs w:val="24"/>
        </w:rPr>
      </w:pPr>
      <w:r>
        <w:rPr>
          <w:rFonts w:hint="eastAsia" w:cs="FangSong_GB2312" w:asciiTheme="minorEastAsia" w:hAnsiTheme="minorEastAsia"/>
          <w:b/>
          <w:bCs/>
          <w:sz w:val="24"/>
          <w:szCs w:val="24"/>
        </w:rPr>
        <w:t>（三）已有临床培训/工作经验：</w:t>
      </w:r>
      <w:r>
        <w:rPr>
          <w:rFonts w:hint="eastAsia" w:cs="FangSong_GB2312" w:asciiTheme="minorEastAsia" w:hAnsiTheme="minorEastAsia"/>
          <w:sz w:val="24"/>
          <w:szCs w:val="24"/>
        </w:rPr>
        <w:t>入培前在国家认可的住培基地或同类三甲综合医院进行</w:t>
      </w:r>
      <w:r>
        <w:rPr>
          <w:rFonts w:hint="eastAsia" w:cs="FangSong_GB2312" w:asciiTheme="minorEastAsia" w:hAnsiTheme="minorEastAsia"/>
          <w:bCs/>
          <w:sz w:val="24"/>
          <w:szCs w:val="24"/>
        </w:rPr>
        <w:t>同专业轮转培训或工作满1年及以上，</w:t>
      </w:r>
      <w:r>
        <w:rPr>
          <w:rFonts w:hint="eastAsia" w:cs="FangSong_GB2312" w:asciiTheme="minorEastAsia" w:hAnsiTheme="minorEastAsia"/>
          <w:sz w:val="24"/>
          <w:szCs w:val="24"/>
        </w:rPr>
        <w:t>申请需提供科教部门出具的盖有住培基地公章的轮转证明或人事部门开具的工作证明</w:t>
      </w:r>
      <w:r>
        <w:rPr>
          <w:rFonts w:hint="eastAsia" w:cs="FangSong_GB2312" w:asciiTheme="minorEastAsia" w:hAnsiTheme="minorEastAsia"/>
          <w:bCs/>
          <w:sz w:val="24"/>
          <w:szCs w:val="24"/>
        </w:rPr>
        <w:t>（需提供证明人及联系方式）</w:t>
      </w:r>
      <w:r>
        <w:rPr>
          <w:rFonts w:hint="eastAsia" w:cs="FangSong_GB2312" w:asciiTheme="minorEastAsia" w:hAnsiTheme="minorEastAsia"/>
          <w:sz w:val="24"/>
          <w:szCs w:val="24"/>
        </w:rPr>
        <w:t>【此类</w:t>
      </w:r>
      <w:r>
        <w:rPr>
          <w:rFonts w:hint="eastAsia" w:cs="FangSong_GB2312" w:asciiTheme="minorEastAsia" w:hAnsiTheme="minorEastAsia"/>
          <w:b/>
          <w:bCs/>
          <w:sz w:val="24"/>
          <w:szCs w:val="24"/>
        </w:rPr>
        <w:t>最多</w:t>
      </w:r>
      <w:r>
        <w:rPr>
          <w:rFonts w:hint="eastAsia" w:cs="FangSong_GB2312" w:asciiTheme="minorEastAsia" w:hAnsiTheme="minorEastAsia"/>
          <w:sz w:val="24"/>
          <w:szCs w:val="24"/>
        </w:rPr>
        <w:t>可予减免1年，但测试不通过者不获减免】。</w:t>
      </w:r>
    </w:p>
    <w:p>
      <w:pPr>
        <w:spacing w:line="360" w:lineRule="auto"/>
        <w:ind w:firstLine="480" w:firstLineChars="200"/>
        <w:rPr>
          <w:rFonts w:cs="FangSong_GB2312" w:asciiTheme="minorEastAsia" w:hAnsiTheme="minorEastAsia"/>
          <w:bCs/>
          <w:sz w:val="24"/>
          <w:szCs w:val="24"/>
        </w:rPr>
      </w:pPr>
      <w:r>
        <w:rPr>
          <w:rFonts w:hint="eastAsia" w:cs="FangSong_GB2312" w:asciiTheme="minorEastAsia" w:hAnsiTheme="minorEastAsia"/>
          <w:bCs/>
          <w:sz w:val="24"/>
          <w:szCs w:val="24"/>
        </w:rPr>
        <w:t>（四）大学</w:t>
      </w:r>
      <w:r>
        <w:rPr>
          <w:rFonts w:hint="eastAsia" w:cs="FangSong_GB2312" w:asciiTheme="minorEastAsia" w:hAnsiTheme="minorEastAsia"/>
          <w:b/>
          <w:bCs/>
          <w:sz w:val="24"/>
          <w:szCs w:val="24"/>
        </w:rPr>
        <w:t>本科应届毕业、学术型硕士/博士及全科专业方向</w:t>
      </w:r>
      <w:r>
        <w:rPr>
          <w:rFonts w:hint="eastAsia" w:cs="FangSong_GB2312" w:asciiTheme="minorEastAsia" w:hAnsiTheme="minorEastAsia"/>
          <w:bCs/>
          <w:sz w:val="24"/>
          <w:szCs w:val="24"/>
        </w:rPr>
        <w:t>不予减免。</w:t>
      </w:r>
    </w:p>
    <w:p>
      <w:pPr>
        <w:spacing w:line="360" w:lineRule="auto"/>
        <w:ind w:firstLine="482" w:firstLineChars="200"/>
        <w:rPr>
          <w:rFonts w:cs="FangSong_GB2312" w:asciiTheme="minorEastAsia" w:hAnsiTheme="minorEastAsia"/>
          <w:bCs/>
          <w:sz w:val="24"/>
          <w:szCs w:val="24"/>
        </w:rPr>
      </w:pPr>
      <w:r>
        <w:rPr>
          <w:rFonts w:hint="eastAsia" w:cs="FangSong_GB2312" w:asciiTheme="minorEastAsia" w:hAnsiTheme="minorEastAsia"/>
          <w:b/>
          <w:sz w:val="24"/>
          <w:szCs w:val="24"/>
        </w:rPr>
        <w:t>（五）</w:t>
      </w:r>
      <w:r>
        <w:rPr>
          <w:rFonts w:hint="eastAsia" w:cs="FangSong_GB2312" w:asciiTheme="minorEastAsia" w:hAnsiTheme="minorEastAsia"/>
          <w:b/>
          <w:sz w:val="24"/>
          <w:szCs w:val="24"/>
          <w:lang w:eastAsia="zh-CN"/>
        </w:rPr>
        <w:t>硕博阶段就读专业与</w:t>
      </w:r>
      <w:r>
        <w:rPr>
          <w:rFonts w:hint="eastAsia" w:cs="FangSong_GB2312" w:asciiTheme="minorEastAsia" w:hAnsiTheme="minorEastAsia"/>
          <w:b/>
          <w:sz w:val="24"/>
          <w:szCs w:val="24"/>
        </w:rPr>
        <w:t>本人</w:t>
      </w:r>
      <w:r>
        <w:rPr>
          <w:rFonts w:hint="eastAsia" w:cs="FangSong_GB2312" w:asciiTheme="minorEastAsia" w:hAnsiTheme="minorEastAsia"/>
          <w:b/>
          <w:sz w:val="24"/>
          <w:szCs w:val="24"/>
          <w:lang w:eastAsia="zh-CN"/>
        </w:rPr>
        <w:t>所报考</w:t>
      </w:r>
      <w:r>
        <w:rPr>
          <w:rFonts w:hint="eastAsia" w:cs="FangSong_GB2312" w:asciiTheme="minorEastAsia" w:hAnsiTheme="minorEastAsia"/>
          <w:b/>
          <w:sz w:val="24"/>
          <w:szCs w:val="24"/>
        </w:rPr>
        <w:t>培训专业不一致者</w:t>
      </w:r>
      <w:r>
        <w:rPr>
          <w:rFonts w:hint="eastAsia" w:cs="FangSong_GB2312" w:asciiTheme="minorEastAsia" w:hAnsiTheme="minorEastAsia"/>
          <w:bCs/>
          <w:sz w:val="24"/>
          <w:szCs w:val="24"/>
        </w:rPr>
        <w:t>不予减免。</w:t>
      </w:r>
    </w:p>
    <w:p>
      <w:pPr>
        <w:spacing w:line="360" w:lineRule="auto"/>
        <w:ind w:firstLine="480" w:firstLineChars="200"/>
        <w:rPr>
          <w:rFonts w:cs="FangSong_GB2312" w:asciiTheme="minorEastAsia" w:hAnsiTheme="minorEastAsia"/>
          <w:bCs/>
          <w:sz w:val="24"/>
          <w:szCs w:val="24"/>
        </w:rPr>
      </w:pPr>
      <w:r>
        <w:rPr>
          <w:rFonts w:hint="eastAsia" w:cs="FangSong_GB2312" w:asciiTheme="minorEastAsia" w:hAnsiTheme="minorEastAsia"/>
          <w:bCs/>
          <w:sz w:val="24"/>
          <w:szCs w:val="24"/>
        </w:rPr>
        <w:t>（六）符合多项申请条件者</w:t>
      </w:r>
      <w:r>
        <w:rPr>
          <w:rFonts w:hint="eastAsia" w:cs="FangSong_GB2312" w:asciiTheme="minorEastAsia" w:hAnsiTheme="minorEastAsia"/>
          <w:b/>
          <w:bCs/>
          <w:sz w:val="24"/>
          <w:szCs w:val="24"/>
        </w:rPr>
        <w:t>不可叠加减免的时间</w:t>
      </w:r>
      <w:r>
        <w:rPr>
          <w:rFonts w:hint="eastAsia" w:cs="FangSong_GB2312" w:asciiTheme="minorEastAsia" w:hAnsiTheme="minorEastAsia"/>
          <w:bCs/>
          <w:sz w:val="24"/>
          <w:szCs w:val="24"/>
        </w:rPr>
        <w:t>，以最大减免年限结果为准。</w:t>
      </w:r>
    </w:p>
    <w:p>
      <w:pPr>
        <w:spacing w:line="360" w:lineRule="auto"/>
        <w:ind w:firstLine="480" w:firstLineChars="200"/>
        <w:rPr>
          <w:rFonts w:cs="FangSong_GB2312" w:asciiTheme="minorEastAsia" w:hAnsiTheme="minorEastAsia"/>
          <w:b/>
          <w:bCs/>
          <w:sz w:val="24"/>
          <w:szCs w:val="24"/>
        </w:rPr>
      </w:pPr>
      <w:r>
        <w:rPr>
          <w:rFonts w:hint="eastAsia" w:cs="FangSong_GB2312" w:asciiTheme="minorEastAsia" w:hAnsiTheme="minorEastAsia"/>
          <w:bCs/>
          <w:sz w:val="24"/>
          <w:szCs w:val="24"/>
        </w:rPr>
        <w:t>备注：报考人员如存在虚报、伪造资料等情况，一经查实将取消报名及培训资</w:t>
      </w:r>
      <w:r>
        <w:rPr>
          <w:rFonts w:hint="eastAsia" w:cs="FangSong_GB2312" w:asciiTheme="minorEastAsia" w:hAnsiTheme="minorEastAsia"/>
          <w:sz w:val="24"/>
          <w:szCs w:val="24"/>
        </w:rPr>
        <w:t>格，并由本人承担一切后果。</w:t>
      </w:r>
    </w:p>
    <w:p>
      <w:pPr>
        <w:rPr>
          <w:rFonts w:asciiTheme="minorEastAsia" w:hAnsiTheme="minorEastAsia"/>
          <w:b/>
          <w:szCs w:val="21"/>
        </w:rPr>
      </w:pPr>
    </w:p>
    <w:p>
      <w:pPr>
        <w:spacing w:line="360" w:lineRule="auto"/>
        <w:ind w:firstLine="482" w:firstLineChars="200"/>
        <w:rPr>
          <w:rFonts w:cs="FangSong_GB2312" w:asciiTheme="minorEastAsia" w:hAnsiTheme="minorEastAsia"/>
          <w:b/>
          <w:sz w:val="24"/>
          <w:szCs w:val="24"/>
        </w:rPr>
      </w:pPr>
      <w:r>
        <w:rPr>
          <w:rFonts w:hint="eastAsia" w:cs="FangSong_GB2312" w:asciiTheme="minorEastAsia" w:hAnsiTheme="minorEastAsia"/>
          <w:b/>
          <w:sz w:val="24"/>
          <w:szCs w:val="24"/>
        </w:rPr>
        <w:t>三、福利待遇</w:t>
      </w:r>
    </w:p>
    <w:p>
      <w:pPr>
        <w:spacing w:line="360" w:lineRule="auto"/>
        <w:ind w:firstLine="480" w:firstLineChars="200"/>
        <w:rPr>
          <w:rFonts w:cs="FangSong_GB2312" w:asciiTheme="minorEastAsia" w:hAnsiTheme="minorEastAsia"/>
          <w:sz w:val="24"/>
          <w:szCs w:val="24"/>
        </w:rPr>
      </w:pPr>
      <w:r>
        <w:rPr>
          <w:rFonts w:hint="eastAsia" w:cs="FangSong_GB2312" w:asciiTheme="minorEastAsia" w:hAnsiTheme="minorEastAsia"/>
          <w:sz w:val="24"/>
          <w:szCs w:val="24"/>
        </w:rPr>
        <w:t>（一）</w:t>
      </w:r>
      <w:r>
        <w:rPr>
          <w:rFonts w:hint="eastAsia" w:cs="FangSong_GB2312" w:asciiTheme="minorEastAsia" w:hAnsiTheme="minorEastAsia"/>
          <w:b/>
          <w:bCs/>
          <w:sz w:val="24"/>
          <w:szCs w:val="24"/>
        </w:rPr>
        <w:t>基本补助：</w:t>
      </w:r>
      <w:r>
        <w:rPr>
          <w:rFonts w:hint="eastAsia" w:cs="FangSong_GB2312" w:asciiTheme="minorEastAsia" w:hAnsiTheme="minorEastAsia"/>
          <w:sz w:val="24"/>
          <w:szCs w:val="24"/>
        </w:rPr>
        <w:t>培训期间，深圳市住培医师（社会人身份）的生活补助按照</w:t>
      </w:r>
      <w:r>
        <w:rPr>
          <w:rFonts w:hint="eastAsia" w:cs="FangSong_GB2312" w:asciiTheme="minorEastAsia" w:hAnsiTheme="minorEastAsia"/>
          <w:b/>
          <w:bCs/>
          <w:sz w:val="24"/>
          <w:szCs w:val="24"/>
          <w:u w:val="single"/>
        </w:rPr>
        <w:t>符合报考条件的最高学历：本科毕业6000元/月、硕士毕业7000/月、博士毕业8500元/月</w:t>
      </w:r>
      <w:r>
        <w:rPr>
          <w:rFonts w:hint="eastAsia" w:cs="FangSong_GB2312" w:asciiTheme="minorEastAsia" w:hAnsiTheme="minorEastAsia"/>
          <w:sz w:val="24"/>
          <w:szCs w:val="24"/>
        </w:rPr>
        <w:t>的标准执行。培训期间，根据具体情况，由培训基地代办养老、医疗（含生育保险）、失业、工伤保险，个人承担的部分(含个税)由住培医师本人支付。单位人身份的住培医师，其工资福利和社会保险等由原单位负责。</w:t>
      </w:r>
    </w:p>
    <w:p>
      <w:pPr>
        <w:spacing w:line="360" w:lineRule="auto"/>
        <w:ind w:firstLine="480" w:firstLineChars="200"/>
        <w:rPr>
          <w:rFonts w:cs="FangSong_GB2312" w:asciiTheme="minorEastAsia" w:hAnsiTheme="minorEastAsia"/>
          <w:bCs/>
          <w:sz w:val="24"/>
          <w:szCs w:val="24"/>
        </w:rPr>
      </w:pPr>
      <w:r>
        <w:rPr>
          <w:rFonts w:hint="eastAsia" w:cs="FangSong_GB2312" w:asciiTheme="minorEastAsia" w:hAnsiTheme="minorEastAsia"/>
          <w:sz w:val="24"/>
          <w:szCs w:val="24"/>
        </w:rPr>
        <w:t>（二）</w:t>
      </w:r>
      <w:r>
        <w:rPr>
          <w:rFonts w:hint="eastAsia" w:cs="FangSong_GB2312" w:asciiTheme="minorEastAsia" w:hAnsiTheme="minorEastAsia"/>
          <w:b/>
          <w:sz w:val="24"/>
          <w:szCs w:val="24"/>
        </w:rPr>
        <w:t>岗位津贴（</w:t>
      </w:r>
      <w:r>
        <w:rPr>
          <w:rFonts w:hint="eastAsia" w:cs="FangSong_GB2312" w:asciiTheme="minorEastAsia" w:hAnsiTheme="minorEastAsia"/>
          <w:b/>
          <w:sz w:val="24"/>
          <w:szCs w:val="24"/>
          <w:u w:val="single"/>
        </w:rPr>
        <w:t>1000元/人/月</w:t>
      </w:r>
      <w:r>
        <w:rPr>
          <w:rFonts w:hint="eastAsia" w:cs="FangSong_GB2312" w:asciiTheme="minorEastAsia" w:hAnsiTheme="minorEastAsia"/>
          <w:b/>
          <w:sz w:val="24"/>
          <w:szCs w:val="24"/>
        </w:rPr>
        <w:t>）：</w:t>
      </w:r>
      <w:r>
        <w:rPr>
          <w:rFonts w:hint="eastAsia" w:cs="FangSong_GB2312" w:asciiTheme="minorEastAsia" w:hAnsiTheme="minorEastAsia"/>
          <w:bCs/>
          <w:sz w:val="24"/>
          <w:szCs w:val="24"/>
        </w:rPr>
        <w:t>根据住培医师出勤情况、工作表现、培训强度三个方面进行考核后发放。</w:t>
      </w:r>
    </w:p>
    <w:p>
      <w:pPr>
        <w:spacing w:line="360" w:lineRule="auto"/>
        <w:ind w:firstLine="482" w:firstLineChars="200"/>
        <w:rPr>
          <w:rFonts w:cs="FangSong_GB2312" w:asciiTheme="minorEastAsia" w:hAnsiTheme="minorEastAsia"/>
          <w:bCs/>
          <w:sz w:val="24"/>
          <w:szCs w:val="24"/>
        </w:rPr>
      </w:pPr>
      <w:r>
        <w:rPr>
          <w:rFonts w:hint="eastAsia" w:cs="FangSong_GB2312" w:asciiTheme="minorEastAsia" w:hAnsiTheme="minorEastAsia"/>
          <w:b/>
          <w:sz w:val="24"/>
          <w:szCs w:val="24"/>
        </w:rPr>
        <w:t>（三）绩效奖金：</w:t>
      </w:r>
      <w:r>
        <w:rPr>
          <w:rFonts w:hint="eastAsia" w:cs="FangSong_GB2312" w:asciiTheme="minorEastAsia" w:hAnsiTheme="minorEastAsia"/>
          <w:bCs/>
          <w:sz w:val="24"/>
          <w:szCs w:val="24"/>
        </w:rPr>
        <w:t>参照医院员工绩效考核的方法，绩效奖金根据基本补助标准、实际培训天数、专业基地对个人临床培训表现评级及医院对所属专业基地的评级等情况进行核算，按学年制，每半年发放一次</w:t>
      </w:r>
      <w:r>
        <w:rPr>
          <w:rFonts w:hint="eastAsia" w:cs="FangSong_GB2312" w:asciiTheme="minorEastAsia" w:hAnsiTheme="minorEastAsia"/>
          <w:b/>
          <w:sz w:val="24"/>
          <w:szCs w:val="24"/>
        </w:rPr>
        <w:t>（平均约2.5-3.5万元/年）</w:t>
      </w:r>
      <w:r>
        <w:rPr>
          <w:rFonts w:hint="eastAsia" w:cs="FangSong_GB2312" w:asciiTheme="minorEastAsia" w:hAnsiTheme="minorEastAsia"/>
          <w:bCs/>
          <w:sz w:val="24"/>
          <w:szCs w:val="24"/>
        </w:rPr>
        <w:t>。</w:t>
      </w:r>
    </w:p>
    <w:p>
      <w:pPr>
        <w:spacing w:line="360" w:lineRule="auto"/>
        <w:ind w:firstLine="482" w:firstLineChars="200"/>
        <w:rPr>
          <w:rFonts w:cs="FangSong_GB2312" w:asciiTheme="minorEastAsia" w:hAnsiTheme="minorEastAsia"/>
          <w:bCs/>
          <w:sz w:val="24"/>
          <w:szCs w:val="24"/>
        </w:rPr>
      </w:pPr>
      <w:r>
        <w:rPr>
          <w:rFonts w:hint="eastAsia" w:cs="FangSong_GB2312" w:asciiTheme="minorEastAsia" w:hAnsiTheme="minorEastAsia"/>
          <w:b/>
          <w:sz w:val="24"/>
          <w:szCs w:val="24"/>
        </w:rPr>
        <w:t>（三）值夜班津贴：</w:t>
      </w:r>
      <w:r>
        <w:rPr>
          <w:rFonts w:hint="eastAsia" w:cs="FangSong_GB2312" w:asciiTheme="minorEastAsia" w:hAnsiTheme="minorEastAsia"/>
          <w:bCs/>
          <w:sz w:val="24"/>
          <w:szCs w:val="24"/>
        </w:rPr>
        <w:t>（跨晚上12点，连续值班8小时及以上）： 准许独立值班的住培医师按 310 元/次，每月计发；跟值的住培医师按 155 元/次，每月计发。</w:t>
      </w:r>
    </w:p>
    <w:p>
      <w:pPr>
        <w:numPr>
          <w:ilvl w:val="0"/>
          <w:numId w:val="1"/>
        </w:numPr>
        <w:spacing w:line="360" w:lineRule="auto"/>
        <w:ind w:firstLine="482" w:firstLineChars="200"/>
        <w:rPr>
          <w:rFonts w:cs="FangSong_GB2312" w:asciiTheme="minorEastAsia" w:hAnsiTheme="minorEastAsia"/>
          <w:sz w:val="24"/>
          <w:szCs w:val="24"/>
        </w:rPr>
      </w:pPr>
      <w:r>
        <w:rPr>
          <w:rFonts w:hint="eastAsia" w:cs="FangSong_GB2312" w:asciiTheme="minorEastAsia" w:hAnsiTheme="minorEastAsia"/>
          <w:b/>
          <w:sz w:val="24"/>
          <w:szCs w:val="24"/>
        </w:rPr>
        <w:t>紧缺补贴：</w:t>
      </w:r>
      <w:r>
        <w:rPr>
          <w:rFonts w:hint="eastAsia" w:cs="FangSong_GB2312" w:asciiTheme="minorEastAsia" w:hAnsiTheme="minorEastAsia"/>
          <w:bCs/>
          <w:sz w:val="24"/>
          <w:szCs w:val="24"/>
        </w:rPr>
        <w:t>紧缺专业（全科/儿科/麻醉科/妇产科）的住培医师，可获得额外</w:t>
      </w:r>
      <w:r>
        <w:rPr>
          <w:rFonts w:hint="eastAsia" w:cs="FangSong_GB2312" w:asciiTheme="minorEastAsia" w:hAnsiTheme="minorEastAsia"/>
          <w:b/>
          <w:sz w:val="24"/>
          <w:szCs w:val="24"/>
          <w:u w:val="single"/>
        </w:rPr>
        <w:t>500元/人/月</w:t>
      </w:r>
      <w:r>
        <w:rPr>
          <w:rFonts w:hint="eastAsia" w:cs="FangSong_GB2312" w:asciiTheme="minorEastAsia" w:hAnsiTheme="minorEastAsia"/>
          <w:bCs/>
          <w:sz w:val="24"/>
          <w:szCs w:val="24"/>
        </w:rPr>
        <w:t>的紧缺专业补助。</w:t>
      </w:r>
    </w:p>
    <w:p>
      <w:pPr>
        <w:numPr>
          <w:ilvl w:val="0"/>
          <w:numId w:val="1"/>
        </w:numPr>
        <w:spacing w:line="360" w:lineRule="auto"/>
        <w:ind w:firstLine="480" w:firstLineChars="200"/>
        <w:rPr>
          <w:rFonts w:cs="FangSong_GB2312" w:asciiTheme="minorEastAsia" w:hAnsiTheme="minorEastAsia"/>
          <w:sz w:val="24"/>
          <w:szCs w:val="24"/>
        </w:rPr>
      </w:pPr>
      <w:r>
        <w:rPr>
          <w:rFonts w:hint="eastAsia" w:cs="FangSong_GB2312" w:asciiTheme="minorEastAsia" w:hAnsiTheme="minorEastAsia"/>
          <w:sz w:val="24"/>
          <w:szCs w:val="24"/>
        </w:rPr>
        <w:t>参照员工标准发放餐补（200元/月）、节假日（春节国庆等）福利。</w:t>
      </w:r>
    </w:p>
    <w:p>
      <w:pPr>
        <w:numPr>
          <w:ilvl w:val="0"/>
          <w:numId w:val="1"/>
        </w:numPr>
        <w:spacing w:line="360" w:lineRule="auto"/>
        <w:ind w:firstLine="480" w:firstLineChars="200"/>
        <w:rPr>
          <w:rFonts w:cs="FangSong_GB2312" w:asciiTheme="minorEastAsia" w:hAnsiTheme="minorEastAsia"/>
          <w:sz w:val="24"/>
          <w:szCs w:val="24"/>
        </w:rPr>
      </w:pPr>
      <w:r>
        <w:rPr>
          <w:rFonts w:hint="eastAsia" w:cs="FangSong_GB2312" w:asciiTheme="minorEastAsia" w:hAnsiTheme="minorEastAsia"/>
          <w:sz w:val="24"/>
          <w:szCs w:val="24"/>
        </w:rPr>
        <w:t>提供</w:t>
      </w:r>
      <w:r>
        <w:rPr>
          <w:rFonts w:hint="eastAsia" w:cs="FangSong_GB2312" w:asciiTheme="minorEastAsia" w:hAnsiTheme="minorEastAsia"/>
          <w:b/>
          <w:sz w:val="24"/>
          <w:szCs w:val="24"/>
        </w:rPr>
        <w:t>免费住宿，及使用技能培训中心、图书馆、电子数据库</w:t>
      </w:r>
      <w:r>
        <w:rPr>
          <w:rFonts w:hint="eastAsia" w:cs="FangSong_GB2312" w:asciiTheme="minorEastAsia" w:hAnsiTheme="minorEastAsia"/>
          <w:sz w:val="24"/>
          <w:szCs w:val="24"/>
        </w:rPr>
        <w:t>等。</w:t>
      </w:r>
    </w:p>
    <w:p>
      <w:pPr>
        <w:numPr>
          <w:ilvl w:val="0"/>
          <w:numId w:val="1"/>
        </w:numPr>
        <w:spacing w:line="360" w:lineRule="auto"/>
        <w:ind w:firstLine="480" w:firstLineChars="200"/>
        <w:rPr>
          <w:rFonts w:cs="FangSong_GB2312" w:asciiTheme="minorEastAsia" w:hAnsiTheme="minorEastAsia"/>
          <w:sz w:val="24"/>
          <w:szCs w:val="24"/>
        </w:rPr>
      </w:pPr>
      <w:r>
        <w:rPr>
          <w:rFonts w:hint="eastAsia" w:cs="FangSong_GB2312" w:asciiTheme="minorEastAsia" w:hAnsiTheme="minorEastAsia"/>
          <w:sz w:val="24"/>
          <w:szCs w:val="24"/>
        </w:rPr>
        <w:t>每年一次</w:t>
      </w:r>
      <w:r>
        <w:rPr>
          <w:rFonts w:hint="eastAsia" w:cs="FangSong_GB2312" w:asciiTheme="minorEastAsia" w:hAnsiTheme="minorEastAsia"/>
          <w:b/>
          <w:sz w:val="24"/>
          <w:szCs w:val="24"/>
        </w:rPr>
        <w:t>免费健康体检</w:t>
      </w:r>
      <w:r>
        <w:rPr>
          <w:rFonts w:hint="eastAsia" w:cs="FangSong_GB2312" w:asciiTheme="minorEastAsia" w:hAnsiTheme="minorEastAsia"/>
          <w:sz w:val="24"/>
          <w:szCs w:val="24"/>
        </w:rPr>
        <w:t>。</w:t>
      </w:r>
    </w:p>
    <w:p>
      <w:pPr>
        <w:numPr>
          <w:ilvl w:val="0"/>
          <w:numId w:val="1"/>
        </w:numPr>
        <w:spacing w:line="360" w:lineRule="auto"/>
        <w:ind w:firstLine="480" w:firstLineChars="200"/>
        <w:rPr>
          <w:rFonts w:cs="FangSong_GB2312" w:asciiTheme="minorEastAsia" w:hAnsiTheme="minorEastAsia"/>
          <w:sz w:val="24"/>
          <w:szCs w:val="24"/>
        </w:rPr>
      </w:pPr>
      <w:r>
        <w:rPr>
          <w:rFonts w:hint="eastAsia" w:cs="FangSong_GB2312" w:asciiTheme="minorEastAsia" w:hAnsiTheme="minorEastAsia"/>
          <w:sz w:val="24"/>
          <w:szCs w:val="24"/>
        </w:rPr>
        <w:t>外出培训机会：住培医师均有机会</w:t>
      </w:r>
      <w:r>
        <w:rPr>
          <w:rFonts w:hint="eastAsia" w:cs="FangSong_GB2312" w:asciiTheme="minorEastAsia" w:hAnsiTheme="minorEastAsia"/>
          <w:b/>
          <w:sz w:val="24"/>
          <w:szCs w:val="24"/>
        </w:rPr>
        <w:t>到香港学习</w:t>
      </w:r>
      <w:r>
        <w:rPr>
          <w:rFonts w:hint="eastAsia" w:cs="FangSong_GB2312" w:asciiTheme="minorEastAsia" w:hAnsiTheme="minorEastAsia"/>
          <w:sz w:val="24"/>
          <w:szCs w:val="24"/>
        </w:rPr>
        <w:t>。</w:t>
      </w:r>
    </w:p>
    <w:p>
      <w:pPr>
        <w:spacing w:line="360" w:lineRule="auto"/>
        <w:ind w:firstLine="480" w:firstLineChars="200"/>
        <w:rPr>
          <w:rFonts w:cs="FangSong_GB2312" w:asciiTheme="minorEastAsia" w:hAnsiTheme="minorEastAsia"/>
          <w:sz w:val="24"/>
          <w:szCs w:val="24"/>
        </w:rPr>
      </w:pPr>
      <w:r>
        <w:rPr>
          <w:rFonts w:hint="eastAsia" w:cs="FangSong_GB2312" w:asciiTheme="minorEastAsia" w:hAnsiTheme="minorEastAsia"/>
          <w:sz w:val="24"/>
          <w:szCs w:val="24"/>
        </w:rPr>
        <w:t>备注：上述待遇已包含国家、省市各级财政补助。如因个人原因退出住院医师规范化培训，按国家有关规定，3年内不能再次报考国家住培医师规范化培训，且需归还已发放的财政补助。</w:t>
      </w:r>
    </w:p>
    <w:p>
      <w:pPr>
        <w:rPr>
          <w:rFonts w:asciiTheme="minorEastAsia" w:hAnsiTheme="minorEastAsia"/>
          <w:b/>
          <w:szCs w:val="21"/>
        </w:rPr>
      </w:pPr>
    </w:p>
    <w:p>
      <w:pPr>
        <w:spacing w:line="360" w:lineRule="auto"/>
        <w:rPr>
          <w:rFonts w:cs="FangSong_GB2312" w:asciiTheme="minorEastAsia" w:hAnsiTheme="minorEastAsia"/>
          <w:b/>
          <w:sz w:val="24"/>
          <w:szCs w:val="24"/>
        </w:rPr>
      </w:pPr>
      <w:r>
        <w:rPr>
          <w:rFonts w:hint="eastAsia" w:cs="FangSong_GB2312" w:asciiTheme="minorEastAsia" w:hAnsiTheme="minorEastAsia"/>
          <w:b/>
          <w:sz w:val="24"/>
          <w:szCs w:val="24"/>
        </w:rPr>
        <w:t>【联系方式】</w:t>
      </w:r>
    </w:p>
    <w:p>
      <w:pPr>
        <w:spacing w:line="360" w:lineRule="auto"/>
        <w:ind w:left="964" w:hanging="964" w:hangingChars="400"/>
        <w:rPr>
          <w:rFonts w:cs="FangSong_GB2312" w:asciiTheme="minorEastAsia" w:hAnsiTheme="minorEastAsia"/>
          <w:sz w:val="24"/>
          <w:szCs w:val="24"/>
        </w:rPr>
      </w:pPr>
      <w:r>
        <w:rPr>
          <w:rFonts w:hint="eastAsia" w:cs="FangSong_GB2312" w:asciiTheme="minorEastAsia" w:hAnsiTheme="minorEastAsia"/>
          <w:b/>
          <w:sz w:val="24"/>
          <w:szCs w:val="24"/>
        </w:rPr>
        <w:t>地  址：</w:t>
      </w:r>
      <w:r>
        <w:rPr>
          <w:rFonts w:hint="eastAsia" w:cs="FangSong_GB2312" w:asciiTheme="minorEastAsia" w:hAnsiTheme="minorEastAsia"/>
          <w:sz w:val="24"/>
          <w:szCs w:val="24"/>
        </w:rPr>
        <w:t>广东省深圳市福田区海园一路1号香港大学深圳医院科教管理楼1720毕业后医学教育办公室</w:t>
      </w:r>
    </w:p>
    <w:p>
      <w:pPr>
        <w:spacing w:line="360" w:lineRule="auto"/>
        <w:ind w:left="964" w:hanging="964" w:hangingChars="400"/>
        <w:rPr>
          <w:rFonts w:cs="FangSong_GB2312" w:asciiTheme="minorEastAsia" w:hAnsiTheme="minorEastAsia"/>
          <w:sz w:val="24"/>
          <w:szCs w:val="24"/>
        </w:rPr>
      </w:pPr>
      <w:r>
        <w:rPr>
          <w:rFonts w:hint="eastAsia" w:cs="FangSong_GB2312" w:asciiTheme="minorEastAsia" w:hAnsiTheme="minorEastAsia"/>
          <w:b/>
          <w:sz w:val="24"/>
          <w:szCs w:val="24"/>
        </w:rPr>
        <w:t>邮  编：</w:t>
      </w:r>
      <w:r>
        <w:rPr>
          <w:rFonts w:hint="eastAsia" w:cs="FangSong_GB2312" w:asciiTheme="minorEastAsia" w:hAnsiTheme="minorEastAsia"/>
          <w:sz w:val="24"/>
          <w:szCs w:val="24"/>
        </w:rPr>
        <w:t>518053</w:t>
      </w:r>
    </w:p>
    <w:p>
      <w:pPr>
        <w:spacing w:line="360" w:lineRule="auto"/>
        <w:rPr>
          <w:rFonts w:hint="eastAsia" w:cs="FangSong_GB2312" w:asciiTheme="minorEastAsia" w:hAnsiTheme="minorEastAsia" w:eastAsiaTheme="minorEastAsia"/>
          <w:b/>
          <w:sz w:val="24"/>
          <w:szCs w:val="24"/>
          <w:lang w:eastAsia="zh-CN"/>
        </w:rPr>
      </w:pPr>
      <w:r>
        <w:rPr>
          <w:rFonts w:hint="eastAsia" w:cs="FangSong_GB2312" w:asciiTheme="minorEastAsia" w:hAnsiTheme="minorEastAsia"/>
          <w:b/>
          <w:sz w:val="24"/>
          <w:szCs w:val="24"/>
        </w:rPr>
        <w:t>联系人：</w:t>
      </w:r>
      <w:r>
        <w:rPr>
          <w:rFonts w:hint="eastAsia" w:cs="FangSong_GB2312" w:asciiTheme="minorEastAsia" w:hAnsiTheme="minorEastAsia"/>
          <w:b w:val="0"/>
          <w:bCs/>
          <w:sz w:val="24"/>
          <w:szCs w:val="24"/>
          <w:lang w:eastAsia="zh-CN"/>
        </w:rPr>
        <w:t>刘老师、熊老师、罗老师</w:t>
      </w:r>
    </w:p>
    <w:p>
      <w:pPr>
        <w:spacing w:line="360" w:lineRule="auto"/>
        <w:rPr>
          <w:rFonts w:hint="eastAsia" w:cs="FangSong_GB2312" w:asciiTheme="minorEastAsia" w:hAnsiTheme="minorEastAsia" w:eastAsiaTheme="minorEastAsia"/>
          <w:sz w:val="24"/>
          <w:szCs w:val="24"/>
          <w:lang w:eastAsia="zh-CN"/>
        </w:rPr>
      </w:pPr>
      <w:r>
        <w:rPr>
          <w:rFonts w:hint="eastAsia" w:cs="FangSong_GB2312" w:asciiTheme="minorEastAsia" w:hAnsiTheme="minorEastAsia"/>
          <w:b/>
          <w:sz w:val="24"/>
          <w:szCs w:val="24"/>
          <w:lang w:eastAsia="zh-CN"/>
        </w:rPr>
        <w:t>邮</w:t>
      </w:r>
      <w:r>
        <w:rPr>
          <w:rFonts w:hint="eastAsia" w:cs="FangSong_GB2312" w:asciiTheme="minorEastAsia" w:hAnsiTheme="minorEastAsia"/>
          <w:b/>
          <w:sz w:val="24"/>
          <w:szCs w:val="24"/>
          <w:lang w:val="en-US" w:eastAsia="zh-CN"/>
        </w:rPr>
        <w:t xml:space="preserve">  </w:t>
      </w:r>
      <w:r>
        <w:rPr>
          <w:rFonts w:hint="eastAsia" w:cs="FangSong_GB2312" w:asciiTheme="minorEastAsia" w:hAnsiTheme="minorEastAsia"/>
          <w:b/>
          <w:sz w:val="24"/>
          <w:szCs w:val="24"/>
          <w:lang w:eastAsia="zh-CN"/>
        </w:rPr>
        <w:t>箱：</w:t>
      </w:r>
      <w:r>
        <w:rPr>
          <w:rFonts w:hint="eastAsia" w:cs="FangSong_GB2312" w:asciiTheme="minorEastAsia" w:hAnsiTheme="minorEastAsia"/>
          <w:sz w:val="24"/>
          <w:szCs w:val="24"/>
          <w:lang w:val="en-US" w:eastAsia="zh-CN"/>
        </w:rPr>
        <w:t>zpzs</w:t>
      </w:r>
      <w:r>
        <w:rPr>
          <w:rFonts w:hint="eastAsia" w:cs="FangSong_GB2312" w:asciiTheme="minorEastAsia" w:hAnsiTheme="minorEastAsia"/>
          <w:sz w:val="24"/>
          <w:szCs w:val="24"/>
        </w:rPr>
        <w:t>@hku-szh.org</w:t>
      </w:r>
      <w:r>
        <w:rPr>
          <w:rFonts w:hint="eastAsia" w:cs="FangSong_GB2312" w:asciiTheme="minorEastAsia" w:hAnsiTheme="minorEastAsia"/>
          <w:sz w:val="24"/>
          <w:szCs w:val="24"/>
          <w:lang w:eastAsia="zh-CN"/>
        </w:rPr>
        <w:t>（住培招生咨询与通知）</w:t>
      </w:r>
    </w:p>
    <w:p>
      <w:pPr>
        <w:spacing w:line="360" w:lineRule="auto"/>
        <w:rPr>
          <w:rFonts w:cs="FangSong_GB2312" w:asciiTheme="minorEastAsia" w:hAnsiTheme="minorEastAsia"/>
          <w:sz w:val="24"/>
          <w:szCs w:val="24"/>
        </w:rPr>
      </w:pPr>
      <w:r>
        <w:rPr>
          <w:rFonts w:hint="eastAsia" w:cs="FangSong_GB2312" w:asciiTheme="minorEastAsia" w:hAnsiTheme="minorEastAsia"/>
          <w:b/>
          <w:bCs/>
          <w:sz w:val="24"/>
          <w:szCs w:val="24"/>
        </w:rPr>
        <w:t>联系方式：</w:t>
      </w:r>
      <w:r>
        <w:rPr>
          <w:rFonts w:hint="eastAsia" w:cs="FangSong_GB2312" w:asciiTheme="minorEastAsia" w:hAnsiTheme="minorEastAsia"/>
          <w:sz w:val="24"/>
          <w:szCs w:val="24"/>
        </w:rPr>
        <w:t>0755-86913333转分机号8638</w:t>
      </w:r>
    </w:p>
    <w:p>
      <w:pPr>
        <w:spacing w:line="360" w:lineRule="auto"/>
        <w:ind w:firstLine="960" w:firstLineChars="400"/>
        <w:rPr>
          <w:rFonts w:cs="FangSong_GB2312" w:asciiTheme="minorEastAsia" w:hAnsiTheme="minorEastAsia"/>
          <w:sz w:val="24"/>
          <w:szCs w:val="24"/>
        </w:rPr>
      </w:pPr>
    </w:p>
    <w:p>
      <w:pPr>
        <w:spacing w:line="360" w:lineRule="auto"/>
        <w:rPr>
          <w:rFonts w:hint="default" w:cs="FangSong_GB2312" w:asciiTheme="minorEastAsia" w:hAnsiTheme="minorEastAsia" w:eastAsiaTheme="minorEastAsia"/>
          <w:b/>
          <w:bCs/>
          <w:sz w:val="24"/>
          <w:szCs w:val="24"/>
          <w:lang w:val="en-US" w:eastAsia="zh-CN"/>
        </w:rPr>
      </w:pPr>
      <w:r>
        <w:rPr>
          <w:rFonts w:hint="default" w:cs="FangSong_GB2312" w:asciiTheme="minorEastAsia" w:hAnsiTheme="minorEastAsia"/>
          <w:b/>
          <w:bCs/>
          <w:sz w:val="24"/>
          <w:szCs w:val="24"/>
          <w:lang w:val="en-US"/>
        </w:rPr>
        <w:drawing>
          <wp:anchor distT="0" distB="0" distL="114300" distR="114300" simplePos="0" relativeHeight="251659264" behindDoc="1" locked="0" layoutInCell="1" allowOverlap="1">
            <wp:simplePos x="0" y="0"/>
            <wp:positionH relativeFrom="column">
              <wp:posOffset>3074670</wp:posOffset>
            </wp:positionH>
            <wp:positionV relativeFrom="paragraph">
              <wp:posOffset>344805</wp:posOffset>
            </wp:positionV>
            <wp:extent cx="1885950" cy="1885950"/>
            <wp:effectExtent l="0" t="0" r="0" b="0"/>
            <wp:wrapTight wrapText="bothSides">
              <wp:wrapPolygon>
                <wp:start x="0" y="0"/>
                <wp:lineTo x="0" y="21382"/>
                <wp:lineTo x="21382" y="21382"/>
                <wp:lineTo x="21382" y="0"/>
                <wp:lineTo x="0" y="0"/>
              </wp:wrapPolygon>
            </wp:wrapTight>
            <wp:docPr id="2" name="图片 2" descr="住培招生志愿登记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住培招生志愿登记表"/>
                    <pic:cNvPicPr>
                      <a:picLocks noChangeAspect="1"/>
                    </pic:cNvPicPr>
                  </pic:nvPicPr>
                  <pic:blipFill>
                    <a:blip r:embed="rId5"/>
                    <a:stretch>
                      <a:fillRect/>
                    </a:stretch>
                  </pic:blipFill>
                  <pic:spPr>
                    <a:xfrm>
                      <a:off x="0" y="0"/>
                      <a:ext cx="1885950" cy="1885950"/>
                    </a:xfrm>
                    <a:prstGeom prst="rect">
                      <a:avLst/>
                    </a:prstGeom>
                  </pic:spPr>
                </pic:pic>
              </a:graphicData>
            </a:graphic>
          </wp:anchor>
        </w:drawing>
      </w:r>
      <w:r>
        <w:rPr>
          <w:rFonts w:hint="eastAsia" w:cs="FangSong_GB2312" w:asciiTheme="minorEastAsia" w:hAnsiTheme="minorEastAsia"/>
          <w:b/>
          <w:bCs/>
          <w:sz w:val="24"/>
          <w:szCs w:val="24"/>
        </w:rPr>
        <w:t>招生咨询QQ群：</w:t>
      </w:r>
      <w:r>
        <w:rPr>
          <w:rFonts w:hint="eastAsia" w:cs="FangSong_GB2312" w:asciiTheme="minorEastAsia" w:hAnsiTheme="minorEastAsia"/>
          <w:b/>
          <w:bCs/>
          <w:sz w:val="24"/>
          <w:szCs w:val="24"/>
          <w:lang w:val="en-US" w:eastAsia="zh-CN"/>
        </w:rPr>
        <w:t xml:space="preserve">                        考生志愿登记：</w:t>
      </w:r>
    </w:p>
    <w:p>
      <w:pPr>
        <w:spacing w:line="360" w:lineRule="auto"/>
        <w:rPr>
          <w:rFonts w:hint="default" w:cs="FangSong_GB2312" w:asciiTheme="minorEastAsia" w:hAnsiTheme="minorEastAsia"/>
          <w:b/>
          <w:bCs/>
          <w:sz w:val="24"/>
          <w:szCs w:val="24"/>
          <w:lang w:val="en-US"/>
        </w:rPr>
      </w:pPr>
      <w:r>
        <w:rPr>
          <w:rFonts w:hint="eastAsia" w:cs="FangSong_GB2312" w:asciiTheme="minorEastAsia" w:hAnsiTheme="minorEastAsia"/>
          <w:sz w:val="24"/>
          <w:szCs w:val="24"/>
        </w:rPr>
        <w:drawing>
          <wp:anchor distT="0" distB="0" distL="114300" distR="114300" simplePos="0" relativeHeight="251658240" behindDoc="0" locked="0" layoutInCell="1" allowOverlap="1">
            <wp:simplePos x="0" y="0"/>
            <wp:positionH relativeFrom="column">
              <wp:posOffset>474345</wp:posOffset>
            </wp:positionH>
            <wp:positionV relativeFrom="paragraph">
              <wp:posOffset>44450</wp:posOffset>
            </wp:positionV>
            <wp:extent cx="1898650" cy="1857375"/>
            <wp:effectExtent l="0" t="0" r="6350" b="9525"/>
            <wp:wrapSquare wrapText="bothSides"/>
            <wp:docPr id="1" name="图片 1" descr="C:\Users\46662\Desktop\11.png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46662\Desktop\11.png11"/>
                    <pic:cNvPicPr>
                      <a:picLocks noChangeAspect="1"/>
                    </pic:cNvPicPr>
                  </pic:nvPicPr>
                  <pic:blipFill>
                    <a:blip r:embed="rId6" cstate="print"/>
                    <a:srcRect/>
                    <a:stretch>
                      <a:fillRect/>
                    </a:stretch>
                  </pic:blipFill>
                  <pic:spPr>
                    <a:xfrm>
                      <a:off x="0" y="0"/>
                      <a:ext cx="1898650" cy="1857375"/>
                    </a:xfrm>
                    <a:prstGeom prst="rect">
                      <a:avLst/>
                    </a:prstGeom>
                  </pic:spPr>
                </pic:pic>
              </a:graphicData>
            </a:graphic>
          </wp:anchor>
        </w:drawing>
      </w:r>
      <w:r>
        <w:rPr>
          <w:rFonts w:hint="eastAsia" w:cs="FangSong_GB2312" w:asciiTheme="minorEastAsia" w:hAnsiTheme="minorEastAsia"/>
          <w:b/>
          <w:bCs/>
          <w:sz w:val="24"/>
          <w:szCs w:val="24"/>
          <w:lang w:val="en-US" w:eastAsia="zh-CN"/>
        </w:rPr>
        <w:t xml:space="preserve">                                       </w:t>
      </w:r>
    </w:p>
    <w:p>
      <w:pPr>
        <w:spacing w:line="360" w:lineRule="auto"/>
        <w:rPr>
          <w:rFonts w:cs="FangSong_GB2312" w:asciiTheme="minorEastAsia" w:hAnsiTheme="minorEastAsia"/>
          <w:sz w:val="24"/>
          <w:szCs w:val="24"/>
        </w:rPr>
      </w:pPr>
    </w:p>
    <w:p>
      <w:pPr>
        <w:spacing w:line="360" w:lineRule="auto"/>
        <w:rPr>
          <w:rFonts w:cs="FangSong_GB2312" w:asciiTheme="minorEastAsia" w:hAnsiTheme="minorEastAsia"/>
          <w:sz w:val="24"/>
          <w:szCs w:val="24"/>
        </w:rPr>
      </w:pPr>
    </w:p>
    <w:p>
      <w:pPr>
        <w:spacing w:line="360" w:lineRule="auto"/>
        <w:rPr>
          <w:rFonts w:cs="FangSong_GB2312" w:asciiTheme="minorEastAsia" w:hAnsiTheme="minorEastAsia"/>
          <w:sz w:val="24"/>
          <w:szCs w:val="24"/>
        </w:rPr>
      </w:pPr>
    </w:p>
    <w:p>
      <w:pPr>
        <w:spacing w:line="360" w:lineRule="auto"/>
        <w:rPr>
          <w:rFonts w:hint="default" w:cs="FangSong_GB2312" w:asciiTheme="minorEastAsia" w:hAnsiTheme="minorEastAsia" w:eastAsiaTheme="minorEastAsia"/>
          <w:sz w:val="24"/>
          <w:szCs w:val="24"/>
          <w:lang w:val="en-US" w:eastAsia="zh-CN"/>
        </w:rPr>
      </w:pPr>
      <w:r>
        <w:rPr>
          <w:rFonts w:hint="eastAsia" w:cs="FangSong_GB2312" w:asciiTheme="minorEastAsia" w:hAnsiTheme="minorEastAsia"/>
          <w:sz w:val="24"/>
          <w:szCs w:val="24"/>
          <w:lang w:val="en-US" w:eastAsia="zh-CN"/>
        </w:rPr>
        <w:t xml:space="preserve">                                   </w:t>
      </w:r>
    </w:p>
    <w:p>
      <w:pPr>
        <w:spacing w:line="360" w:lineRule="auto"/>
        <w:rPr>
          <w:rFonts w:cs="FangSong_GB2312" w:asciiTheme="minorEastAsia" w:hAnsiTheme="minorEastAsia"/>
          <w:sz w:val="24"/>
          <w:szCs w:val="24"/>
        </w:rPr>
      </w:pPr>
    </w:p>
    <w:p>
      <w:pPr>
        <w:spacing w:line="360" w:lineRule="auto"/>
        <w:rPr>
          <w:rFonts w:cs="FangSong_GB2312" w:asciiTheme="minorEastAsia" w:hAnsiTheme="minorEastAsia"/>
          <w:sz w:val="24"/>
          <w:szCs w:val="24"/>
        </w:rPr>
      </w:pPr>
    </w:p>
    <w:p>
      <w:pPr>
        <w:spacing w:line="360" w:lineRule="auto"/>
        <w:rPr>
          <w:rFonts w:cs="FangSong_GB2312" w:asciiTheme="minorEastAsia" w:hAnsiTheme="minorEastAsia"/>
          <w:sz w:val="24"/>
          <w:szCs w:val="24"/>
        </w:rPr>
      </w:pPr>
    </w:p>
    <w:p>
      <w:pPr>
        <w:spacing w:line="360" w:lineRule="auto"/>
        <w:ind w:firstLine="480" w:firstLineChars="200"/>
        <w:jc w:val="right"/>
        <w:rPr>
          <w:rFonts w:hint="eastAsia" w:cs="FangSong_GB2312" w:asciiTheme="minorEastAsia" w:hAnsiTheme="minorEastAsia"/>
          <w:sz w:val="24"/>
          <w:szCs w:val="24"/>
        </w:rPr>
      </w:pPr>
    </w:p>
    <w:p>
      <w:pPr>
        <w:spacing w:line="360" w:lineRule="auto"/>
        <w:ind w:firstLine="480" w:firstLineChars="200"/>
        <w:jc w:val="center"/>
        <w:rPr>
          <w:rFonts w:cs="FangSong_GB2312" w:asciiTheme="minorEastAsia" w:hAnsiTheme="minorEastAsia"/>
          <w:sz w:val="24"/>
          <w:szCs w:val="24"/>
        </w:rPr>
      </w:pPr>
      <w:r>
        <w:rPr>
          <w:rFonts w:hint="eastAsia" w:cs="FangSong_GB2312" w:asciiTheme="minorEastAsia" w:hAnsiTheme="minorEastAsia"/>
          <w:sz w:val="24"/>
          <w:szCs w:val="24"/>
          <w:lang w:val="en-US" w:eastAsia="zh-CN"/>
        </w:rPr>
        <w:t xml:space="preserve">                                             </w:t>
      </w:r>
      <w:r>
        <w:rPr>
          <w:rFonts w:hint="eastAsia" w:cs="FangSong_GB2312" w:asciiTheme="minorEastAsia" w:hAnsiTheme="minorEastAsia"/>
          <w:sz w:val="24"/>
          <w:szCs w:val="24"/>
        </w:rPr>
        <w:t>香港大学深圳医院</w:t>
      </w:r>
    </w:p>
    <w:p>
      <w:pPr>
        <w:spacing w:line="360" w:lineRule="auto"/>
        <w:ind w:firstLine="480" w:firstLineChars="200"/>
        <w:jc w:val="center"/>
        <w:rPr>
          <w:rFonts w:hint="eastAsia" w:cs="FangSong_GB2312" w:asciiTheme="minorEastAsia" w:hAnsiTheme="minorEastAsia"/>
          <w:sz w:val="24"/>
          <w:szCs w:val="24"/>
        </w:rPr>
      </w:pPr>
      <w:r>
        <w:rPr>
          <w:rFonts w:hint="eastAsia" w:cs="FangSong_GB2312" w:asciiTheme="minorEastAsia" w:hAnsiTheme="minorEastAsia"/>
          <w:sz w:val="24"/>
          <w:szCs w:val="24"/>
          <w:lang w:val="en-US" w:eastAsia="zh-CN"/>
        </w:rPr>
        <w:t xml:space="preserve">                                             </w:t>
      </w:r>
      <w:r>
        <w:rPr>
          <w:rFonts w:hint="eastAsia" w:cs="FangSong_GB2312" w:asciiTheme="minorEastAsia" w:hAnsiTheme="minorEastAsia"/>
          <w:sz w:val="24"/>
          <w:szCs w:val="24"/>
        </w:rPr>
        <w:t>2019年</w:t>
      </w:r>
      <w:r>
        <w:rPr>
          <w:rFonts w:hint="eastAsia" w:cs="FangSong_GB2312" w:asciiTheme="minorEastAsia" w:hAnsiTheme="minorEastAsia"/>
          <w:sz w:val="24"/>
          <w:szCs w:val="24"/>
          <w:lang w:val="en-US" w:eastAsia="zh-CN"/>
        </w:rPr>
        <w:t>11</w:t>
      </w:r>
      <w:r>
        <w:rPr>
          <w:rFonts w:hint="eastAsia" w:cs="FangSong_GB2312" w:asciiTheme="minorEastAsia" w:hAnsiTheme="minorEastAsia"/>
          <w:sz w:val="24"/>
          <w:szCs w:val="24"/>
        </w:rPr>
        <w:t>月</w:t>
      </w:r>
      <w:r>
        <w:rPr>
          <w:rFonts w:hint="eastAsia" w:cs="FangSong_GB2312" w:asciiTheme="minorEastAsia" w:hAnsiTheme="minorEastAsia"/>
          <w:sz w:val="24"/>
          <w:szCs w:val="24"/>
          <w:lang w:val="en-US" w:eastAsia="zh-CN"/>
        </w:rPr>
        <w:t>25</w:t>
      </w:r>
      <w:r>
        <w:rPr>
          <w:rFonts w:hint="eastAsia" w:cs="FangSong_GB2312" w:asciiTheme="minorEastAsia" w:hAnsiTheme="minorEastAsia"/>
          <w:sz w:val="24"/>
          <w:szCs w:val="24"/>
        </w:rPr>
        <w:t>日</w:t>
      </w:r>
    </w:p>
    <w:p>
      <w:pPr>
        <w:spacing w:line="360" w:lineRule="auto"/>
        <w:ind w:firstLine="480" w:firstLineChars="200"/>
        <w:jc w:val="right"/>
        <w:rPr>
          <w:rFonts w:hint="eastAsia" w:cs="FangSong_GB2312" w:asciiTheme="minorEastAsia" w:hAnsiTheme="minorEastAsia"/>
          <w:sz w:val="24"/>
          <w:szCs w:val="24"/>
        </w:rPr>
      </w:pPr>
    </w:p>
    <w:p>
      <w:pPr>
        <w:spacing w:line="360" w:lineRule="auto"/>
        <w:ind w:firstLine="480" w:firstLineChars="200"/>
        <w:jc w:val="right"/>
        <w:rPr>
          <w:rFonts w:hint="eastAsia" w:cs="FangSong_GB2312" w:asciiTheme="minorEastAsia" w:hAnsiTheme="minorEastAsia"/>
          <w:sz w:val="24"/>
          <w:szCs w:val="24"/>
        </w:rPr>
      </w:pPr>
    </w:p>
    <w:p>
      <w:pPr>
        <w:spacing w:line="360" w:lineRule="auto"/>
        <w:ind w:firstLine="480" w:firstLineChars="200"/>
        <w:jc w:val="right"/>
        <w:rPr>
          <w:rFonts w:hint="eastAsia" w:cs="FangSong_GB2312" w:asciiTheme="minorEastAsia" w:hAnsiTheme="minorEastAsia"/>
          <w:sz w:val="24"/>
          <w:szCs w:val="24"/>
        </w:rPr>
      </w:pPr>
    </w:p>
    <w:p>
      <w:pPr>
        <w:spacing w:line="360" w:lineRule="auto"/>
        <w:ind w:firstLine="480" w:firstLineChars="200"/>
        <w:jc w:val="right"/>
        <w:rPr>
          <w:rFonts w:hint="eastAsia" w:cs="FangSong_GB2312" w:asciiTheme="minorEastAsia" w:hAnsiTheme="minorEastAsia"/>
          <w:sz w:val="24"/>
          <w:szCs w:val="24"/>
        </w:rPr>
      </w:pPr>
    </w:p>
    <w:p>
      <w:pPr>
        <w:spacing w:line="360" w:lineRule="auto"/>
        <w:ind w:firstLine="480" w:firstLineChars="200"/>
        <w:jc w:val="right"/>
        <w:rPr>
          <w:rFonts w:hint="eastAsia" w:cs="FangSong_GB2312" w:asciiTheme="minorEastAsia" w:hAnsiTheme="minorEastAsia"/>
          <w:sz w:val="24"/>
          <w:szCs w:val="24"/>
        </w:rPr>
      </w:pPr>
    </w:p>
    <w:p>
      <w:pPr>
        <w:spacing w:line="360" w:lineRule="auto"/>
        <w:ind w:firstLine="480" w:firstLineChars="200"/>
        <w:jc w:val="left"/>
        <w:rPr>
          <w:sz w:val="24"/>
          <w:szCs w:val="24"/>
        </w:rPr>
        <w:sectPr>
          <w:headerReference r:id="rId3" w:type="default"/>
          <w:pgSz w:w="11906" w:h="16838"/>
          <w:pgMar w:top="1440" w:right="1800" w:bottom="1440" w:left="1800" w:header="851" w:footer="992" w:gutter="0"/>
          <w:cols w:space="425" w:num="1"/>
          <w:docGrid w:type="lines" w:linePitch="312" w:charSpace="0"/>
        </w:sectPr>
      </w:pPr>
    </w:p>
    <w:p>
      <w:pPr>
        <w:widowControl/>
        <w:jc w:val="left"/>
        <w:rPr>
          <w:rFonts w:asciiTheme="minorEastAsia" w:hAnsiTheme="minorEastAsia" w:cstheme="majorEastAsia"/>
          <w:b/>
          <w:bCs/>
          <w:sz w:val="24"/>
          <w:szCs w:val="24"/>
        </w:rPr>
      </w:pPr>
      <w:r>
        <w:rPr>
          <w:rFonts w:hint="eastAsia" w:asciiTheme="minorEastAsia" w:hAnsiTheme="minorEastAsia" w:cstheme="majorEastAsia"/>
          <w:b/>
          <w:bCs/>
          <w:sz w:val="24"/>
          <w:szCs w:val="24"/>
        </w:rPr>
        <w:t>附：香港大学深圳医院住院医生规范化培训2020年招生计划</w:t>
      </w:r>
    </w:p>
    <w:tbl>
      <w:tblPr>
        <w:tblStyle w:val="9"/>
        <w:tblpPr w:leftFromText="180" w:rightFromText="180" w:vertAnchor="text" w:horzAnchor="page" w:tblpX="688" w:tblpY="338"/>
        <w:tblOverlap w:val="never"/>
        <w:tblW w:w="156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05"/>
        <w:gridCol w:w="1270"/>
        <w:gridCol w:w="1155"/>
        <w:gridCol w:w="1095"/>
        <w:gridCol w:w="4980"/>
        <w:gridCol w:w="4296"/>
        <w:gridCol w:w="750"/>
        <w:gridCol w:w="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trPr>
        <w:tc>
          <w:tcPr>
            <w:tcW w:w="705" w:type="dxa"/>
            <w:vMerge w:val="restart"/>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序号</w:t>
            </w:r>
          </w:p>
        </w:tc>
        <w:tc>
          <w:tcPr>
            <w:tcW w:w="705" w:type="dxa"/>
            <w:vMerge w:val="restart"/>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专业代码</w:t>
            </w:r>
          </w:p>
        </w:tc>
        <w:tc>
          <w:tcPr>
            <w:tcW w:w="1270" w:type="dxa"/>
            <w:vMerge w:val="restart"/>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专业基地名称</w:t>
            </w:r>
          </w:p>
        </w:tc>
        <w:tc>
          <w:tcPr>
            <w:tcW w:w="7230" w:type="dxa"/>
            <w:gridSpan w:val="3"/>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学历及专业要求</w:t>
            </w:r>
          </w:p>
        </w:tc>
        <w:tc>
          <w:tcPr>
            <w:tcW w:w="4296" w:type="dxa"/>
            <w:vMerge w:val="restart"/>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其他要求</w:t>
            </w:r>
          </w:p>
        </w:tc>
        <w:tc>
          <w:tcPr>
            <w:tcW w:w="750" w:type="dxa"/>
            <w:vMerge w:val="restart"/>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数量</w:t>
            </w:r>
          </w:p>
        </w:tc>
        <w:tc>
          <w:tcPr>
            <w:tcW w:w="731" w:type="dxa"/>
            <w:vMerge w:val="restart"/>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705" w:type="dxa"/>
            <w:vMerge w:val="continue"/>
            <w:vAlign w:val="center"/>
          </w:tcPr>
          <w:p>
            <w:pPr>
              <w:widowControl/>
              <w:jc w:val="left"/>
              <w:rPr>
                <w:rFonts w:ascii="黑体" w:hAnsi="黑体" w:eastAsia="黑体" w:cs="宋体"/>
                <w:bCs/>
                <w:kern w:val="0"/>
                <w:szCs w:val="21"/>
              </w:rPr>
            </w:pPr>
          </w:p>
        </w:tc>
        <w:tc>
          <w:tcPr>
            <w:tcW w:w="705" w:type="dxa"/>
            <w:vMerge w:val="continue"/>
            <w:vAlign w:val="center"/>
          </w:tcPr>
          <w:p>
            <w:pPr>
              <w:widowControl/>
              <w:jc w:val="left"/>
              <w:rPr>
                <w:rFonts w:ascii="黑体" w:hAnsi="黑体" w:eastAsia="黑体" w:cs="宋体"/>
                <w:bCs/>
                <w:kern w:val="0"/>
                <w:szCs w:val="21"/>
              </w:rPr>
            </w:pPr>
          </w:p>
        </w:tc>
        <w:tc>
          <w:tcPr>
            <w:tcW w:w="1270" w:type="dxa"/>
            <w:vMerge w:val="continue"/>
            <w:vAlign w:val="center"/>
          </w:tcPr>
          <w:p>
            <w:pPr>
              <w:widowControl/>
              <w:jc w:val="left"/>
              <w:rPr>
                <w:rFonts w:ascii="黑体" w:hAnsi="黑体" w:eastAsia="黑体" w:cs="宋体"/>
                <w:bCs/>
                <w:kern w:val="0"/>
                <w:szCs w:val="21"/>
              </w:rPr>
            </w:pPr>
          </w:p>
        </w:tc>
        <w:tc>
          <w:tcPr>
            <w:tcW w:w="1155" w:type="dxa"/>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最低学历</w:t>
            </w:r>
          </w:p>
        </w:tc>
        <w:tc>
          <w:tcPr>
            <w:tcW w:w="1095" w:type="dxa"/>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最低学位</w:t>
            </w:r>
          </w:p>
        </w:tc>
        <w:tc>
          <w:tcPr>
            <w:tcW w:w="4980" w:type="dxa"/>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所学专业（专业代码、研究方向）</w:t>
            </w:r>
          </w:p>
        </w:tc>
        <w:tc>
          <w:tcPr>
            <w:tcW w:w="4296" w:type="dxa"/>
            <w:vMerge w:val="continue"/>
            <w:vAlign w:val="center"/>
          </w:tcPr>
          <w:p>
            <w:pPr>
              <w:widowControl/>
              <w:jc w:val="left"/>
              <w:rPr>
                <w:rFonts w:ascii="宋体" w:hAnsi="宋体" w:cs="宋体"/>
                <w:b/>
                <w:bCs/>
                <w:kern w:val="0"/>
                <w:sz w:val="20"/>
                <w:szCs w:val="20"/>
              </w:rPr>
            </w:pPr>
          </w:p>
        </w:tc>
        <w:tc>
          <w:tcPr>
            <w:tcW w:w="750" w:type="dxa"/>
            <w:vMerge w:val="continue"/>
            <w:vAlign w:val="center"/>
          </w:tcPr>
          <w:p>
            <w:pPr>
              <w:widowControl/>
              <w:jc w:val="left"/>
              <w:rPr>
                <w:rFonts w:ascii="宋体" w:hAnsi="宋体" w:cs="宋体"/>
                <w:b/>
                <w:bCs/>
                <w:kern w:val="0"/>
                <w:sz w:val="20"/>
                <w:szCs w:val="20"/>
              </w:rPr>
            </w:pPr>
          </w:p>
        </w:tc>
        <w:tc>
          <w:tcPr>
            <w:tcW w:w="731" w:type="dxa"/>
            <w:vMerge w:val="continue"/>
            <w:vAlign w:val="center"/>
          </w:tcPr>
          <w:p>
            <w:pPr>
              <w:widowControl/>
              <w:jc w:val="left"/>
              <w:rPr>
                <w:rFonts w:ascii="宋体" w:hAnsi="宋体"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705" w:type="dxa"/>
            <w:vAlign w:val="center"/>
          </w:tcPr>
          <w:p>
            <w:pPr>
              <w:widowControl/>
              <w:jc w:val="center"/>
              <w:textAlignment w:val="center"/>
              <w:rPr>
                <w:rFonts w:ascii="仿宋_GB2312" w:hAnsi="宋体" w:eastAsia="仿宋_GB2312" w:cs="宋体"/>
                <w:kern w:val="0"/>
                <w:sz w:val="24"/>
                <w:szCs w:val="24"/>
              </w:rPr>
            </w:pPr>
            <w:r>
              <w:rPr>
                <w:rFonts w:hint="eastAsia" w:ascii="宋体" w:hAnsi="宋体" w:eastAsia="宋体" w:cs="宋体"/>
                <w:color w:val="000000"/>
                <w:kern w:val="0"/>
                <w:sz w:val="20"/>
                <w:szCs w:val="20"/>
              </w:rPr>
              <w:t>1</w:t>
            </w:r>
          </w:p>
        </w:tc>
        <w:tc>
          <w:tcPr>
            <w:tcW w:w="705" w:type="dxa"/>
            <w:vAlign w:val="center"/>
          </w:tcPr>
          <w:p>
            <w:pPr>
              <w:keepNext w:val="0"/>
              <w:keepLines w:val="0"/>
              <w:widowControl/>
              <w:suppressLineNumbers w:val="0"/>
              <w:jc w:val="center"/>
              <w:textAlignment w:val="center"/>
              <w:rPr>
                <w:rFonts w:ascii="仿宋_GB2312" w:hAnsi="宋体" w:eastAsia="仿宋_GB2312" w:cs="宋体"/>
                <w:kern w:val="0"/>
                <w:sz w:val="24"/>
                <w:szCs w:val="24"/>
              </w:rPr>
            </w:pPr>
            <w:r>
              <w:rPr>
                <w:rFonts w:hint="eastAsia" w:ascii="宋体" w:hAnsi="宋体" w:eastAsia="宋体" w:cs="宋体"/>
                <w:i w:val="0"/>
                <w:color w:val="000000"/>
                <w:kern w:val="0"/>
                <w:sz w:val="20"/>
                <w:szCs w:val="20"/>
                <w:u w:val="none"/>
                <w:lang w:val="en-US" w:eastAsia="zh-CN" w:bidi="ar"/>
              </w:rPr>
              <w:t>100</w:t>
            </w:r>
          </w:p>
        </w:tc>
        <w:tc>
          <w:tcPr>
            <w:tcW w:w="1270" w:type="dxa"/>
            <w:vAlign w:val="center"/>
          </w:tcPr>
          <w:p>
            <w:pPr>
              <w:keepNext w:val="0"/>
              <w:keepLines w:val="0"/>
              <w:widowControl/>
              <w:suppressLineNumbers w:val="0"/>
              <w:jc w:val="center"/>
              <w:textAlignment w:val="center"/>
              <w:rPr>
                <w:rFonts w:ascii="仿宋_GB2312" w:hAnsi="宋体" w:eastAsia="仿宋_GB2312" w:cs="宋体"/>
                <w:kern w:val="0"/>
                <w:sz w:val="24"/>
                <w:szCs w:val="24"/>
              </w:rPr>
            </w:pPr>
            <w:r>
              <w:rPr>
                <w:rFonts w:hint="eastAsia" w:ascii="宋体" w:hAnsi="宋体" w:eastAsia="宋体" w:cs="宋体"/>
                <w:i w:val="0"/>
                <w:color w:val="000000"/>
                <w:kern w:val="0"/>
                <w:sz w:val="20"/>
                <w:szCs w:val="20"/>
                <w:u w:val="none"/>
                <w:lang w:val="en-US" w:eastAsia="zh-CN" w:bidi="ar"/>
              </w:rPr>
              <w:t>内科</w:t>
            </w:r>
          </w:p>
        </w:tc>
        <w:tc>
          <w:tcPr>
            <w:tcW w:w="1155" w:type="dxa"/>
            <w:vAlign w:val="center"/>
          </w:tcPr>
          <w:p>
            <w:pPr>
              <w:keepNext w:val="0"/>
              <w:keepLines w:val="0"/>
              <w:widowControl/>
              <w:suppressLineNumbers w:val="0"/>
              <w:jc w:val="center"/>
              <w:textAlignment w:val="center"/>
              <w:rPr>
                <w:rFonts w:ascii="仿宋_GB2312" w:hAnsi="宋体" w:eastAsia="仿宋_GB2312" w:cs="宋体"/>
                <w:kern w:val="0"/>
                <w:sz w:val="24"/>
                <w:szCs w:val="24"/>
              </w:rPr>
            </w:pPr>
            <w:r>
              <w:rPr>
                <w:rFonts w:hint="eastAsia" w:ascii="宋体" w:hAnsi="宋体" w:eastAsia="宋体" w:cs="宋体"/>
                <w:i w:val="0"/>
                <w:color w:val="000000"/>
                <w:kern w:val="0"/>
                <w:sz w:val="20"/>
                <w:szCs w:val="20"/>
                <w:u w:val="none"/>
                <w:lang w:val="en-US" w:eastAsia="zh-CN" w:bidi="ar"/>
              </w:rPr>
              <w:t>大学本科</w:t>
            </w:r>
          </w:p>
        </w:tc>
        <w:tc>
          <w:tcPr>
            <w:tcW w:w="1095" w:type="dxa"/>
            <w:vAlign w:val="center"/>
          </w:tcPr>
          <w:p>
            <w:pPr>
              <w:keepNext w:val="0"/>
              <w:keepLines w:val="0"/>
              <w:widowControl/>
              <w:suppressLineNumbers w:val="0"/>
              <w:jc w:val="center"/>
              <w:textAlignment w:val="center"/>
              <w:rPr>
                <w:rFonts w:ascii="仿宋_GB2312" w:hAnsi="宋体" w:eastAsia="仿宋_GB2312" w:cs="宋体"/>
                <w:kern w:val="0"/>
                <w:sz w:val="24"/>
                <w:szCs w:val="24"/>
              </w:rPr>
            </w:pPr>
            <w:r>
              <w:rPr>
                <w:rFonts w:hint="eastAsia" w:ascii="宋体" w:hAnsi="宋体" w:eastAsia="宋体" w:cs="宋体"/>
                <w:i w:val="0"/>
                <w:color w:val="000000"/>
                <w:kern w:val="0"/>
                <w:sz w:val="20"/>
                <w:szCs w:val="20"/>
                <w:u w:val="none"/>
                <w:lang w:val="en-US" w:eastAsia="zh-CN" w:bidi="ar"/>
              </w:rPr>
              <w:t>医学学士</w:t>
            </w:r>
          </w:p>
        </w:tc>
        <w:tc>
          <w:tcPr>
            <w:tcW w:w="4980" w:type="dxa"/>
            <w:vAlign w:val="center"/>
          </w:tcPr>
          <w:p>
            <w:pPr>
              <w:keepNext w:val="0"/>
              <w:keepLines w:val="0"/>
              <w:widowControl/>
              <w:suppressLineNumbers w:val="0"/>
              <w:jc w:val="left"/>
              <w:textAlignment w:val="center"/>
              <w:rPr>
                <w:rFonts w:ascii="仿宋_GB2312" w:hAnsi="宋体" w:eastAsia="仿宋_GB2312" w:cs="宋体"/>
                <w:kern w:val="0"/>
                <w:sz w:val="24"/>
                <w:szCs w:val="24"/>
              </w:rPr>
            </w:pPr>
            <w:r>
              <w:rPr>
                <w:rFonts w:hint="eastAsia" w:ascii="宋体" w:hAnsi="宋体" w:eastAsia="宋体" w:cs="宋体"/>
                <w:i w:val="0"/>
                <w:color w:val="000000"/>
                <w:kern w:val="0"/>
                <w:sz w:val="20"/>
                <w:szCs w:val="20"/>
                <w:u w:val="none"/>
                <w:lang w:val="en-US" w:eastAsia="zh-CN" w:bidi="ar"/>
              </w:rPr>
              <w:t>本科：临床医学（100201K）</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研究生及以上：内科学（10021），老年医学（00203），肿瘤学（100214），急诊医学（100218）</w:t>
            </w:r>
          </w:p>
        </w:tc>
        <w:tc>
          <w:tcPr>
            <w:tcW w:w="4296" w:type="dxa"/>
            <w:vAlign w:val="center"/>
          </w:tcPr>
          <w:p>
            <w:pPr>
              <w:keepNext w:val="0"/>
              <w:keepLines w:val="0"/>
              <w:widowControl/>
              <w:suppressLineNumbers w:val="0"/>
              <w:jc w:val="left"/>
              <w:textAlignment w:val="center"/>
              <w:rPr>
                <w:rFonts w:ascii="仿宋_GB2312" w:hAnsi="宋体" w:eastAsia="仿宋_GB2312" w:cs="宋体"/>
                <w:kern w:val="0"/>
                <w:sz w:val="24"/>
                <w:szCs w:val="24"/>
              </w:rPr>
            </w:pPr>
            <w:r>
              <w:rPr>
                <w:rFonts w:hint="eastAsia" w:ascii="宋体" w:hAnsi="宋体" w:eastAsia="宋体" w:cs="宋体"/>
                <w:i w:val="0"/>
                <w:color w:val="000000"/>
                <w:kern w:val="0"/>
                <w:sz w:val="20"/>
                <w:szCs w:val="20"/>
                <w:u w:val="none"/>
                <w:lang w:val="en-US" w:eastAsia="zh-CN" w:bidi="ar"/>
              </w:rPr>
              <w:t>全日制普通本科学历及以上，内地大学英语四级425分以上或境外具备同等英语水平。</w:t>
            </w:r>
          </w:p>
        </w:tc>
        <w:tc>
          <w:tcPr>
            <w:tcW w:w="750" w:type="dxa"/>
            <w:vAlign w:val="center"/>
          </w:tcPr>
          <w:p>
            <w:pPr>
              <w:keepNext w:val="0"/>
              <w:keepLines w:val="0"/>
              <w:widowControl/>
              <w:suppressLineNumbers w:val="0"/>
              <w:jc w:val="center"/>
              <w:textAlignment w:val="center"/>
              <w:rPr>
                <w:rFonts w:ascii="仿宋_GB2312" w:hAnsi="宋体" w:eastAsia="仿宋_GB2312" w:cs="宋体"/>
                <w:kern w:val="0"/>
                <w:sz w:val="24"/>
                <w:szCs w:val="24"/>
              </w:rPr>
            </w:pPr>
            <w:r>
              <w:rPr>
                <w:rFonts w:hint="eastAsia" w:ascii="宋体" w:hAnsi="宋体" w:eastAsia="宋体" w:cs="宋体"/>
                <w:i w:val="0"/>
                <w:color w:val="000000"/>
                <w:kern w:val="0"/>
                <w:sz w:val="20"/>
                <w:szCs w:val="20"/>
                <w:u w:val="none"/>
                <w:lang w:val="en-US" w:eastAsia="zh-CN" w:bidi="ar"/>
              </w:rPr>
              <w:t>20</w:t>
            </w:r>
          </w:p>
        </w:tc>
        <w:tc>
          <w:tcPr>
            <w:tcW w:w="731" w:type="dxa"/>
            <w:vAlign w:val="center"/>
          </w:tcPr>
          <w:p>
            <w:pPr>
              <w:widowControl/>
              <w:jc w:val="center"/>
              <w:rPr>
                <w:rFonts w:ascii="仿宋_GB2312" w:hAnsi="宋体" w:eastAsia="仿宋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trPr>
        <w:tc>
          <w:tcPr>
            <w:tcW w:w="705" w:type="dxa"/>
            <w:vAlign w:val="center"/>
          </w:tcPr>
          <w:p>
            <w:pPr>
              <w:widowControl/>
              <w:jc w:val="center"/>
              <w:textAlignment w:val="center"/>
              <w:rPr>
                <w:rFonts w:ascii="宋体" w:hAnsi="宋体" w:cs="宋体"/>
                <w:kern w:val="0"/>
                <w:sz w:val="24"/>
                <w:szCs w:val="24"/>
              </w:rPr>
            </w:pPr>
            <w:r>
              <w:rPr>
                <w:rFonts w:hint="eastAsia" w:ascii="宋体" w:hAnsi="宋体" w:eastAsia="宋体" w:cs="宋体"/>
                <w:color w:val="000000"/>
                <w:kern w:val="0"/>
                <w:sz w:val="20"/>
                <w:szCs w:val="20"/>
              </w:rPr>
              <w:t>2</w:t>
            </w:r>
          </w:p>
        </w:tc>
        <w:tc>
          <w:tcPr>
            <w:tcW w:w="705" w:type="dxa"/>
            <w:vAlign w:val="center"/>
          </w:tcPr>
          <w:p>
            <w:pPr>
              <w:keepNext w:val="0"/>
              <w:keepLines w:val="0"/>
              <w:widowControl/>
              <w:suppressLineNumbers w:val="0"/>
              <w:jc w:val="center"/>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0200</w:t>
            </w:r>
          </w:p>
        </w:tc>
        <w:tc>
          <w:tcPr>
            <w:tcW w:w="1270" w:type="dxa"/>
            <w:vAlign w:val="center"/>
          </w:tcPr>
          <w:p>
            <w:pPr>
              <w:keepNext w:val="0"/>
              <w:keepLines w:val="0"/>
              <w:widowControl/>
              <w:suppressLineNumbers w:val="0"/>
              <w:jc w:val="center"/>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儿科</w:t>
            </w:r>
          </w:p>
        </w:tc>
        <w:tc>
          <w:tcPr>
            <w:tcW w:w="1155" w:type="dxa"/>
            <w:vAlign w:val="center"/>
          </w:tcPr>
          <w:p>
            <w:pPr>
              <w:keepNext w:val="0"/>
              <w:keepLines w:val="0"/>
              <w:widowControl/>
              <w:suppressLineNumbers w:val="0"/>
              <w:jc w:val="center"/>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大学本科</w:t>
            </w:r>
          </w:p>
        </w:tc>
        <w:tc>
          <w:tcPr>
            <w:tcW w:w="1095" w:type="dxa"/>
            <w:vAlign w:val="center"/>
          </w:tcPr>
          <w:p>
            <w:pPr>
              <w:keepNext w:val="0"/>
              <w:keepLines w:val="0"/>
              <w:widowControl/>
              <w:suppressLineNumbers w:val="0"/>
              <w:jc w:val="center"/>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医学学士</w:t>
            </w:r>
          </w:p>
        </w:tc>
        <w:tc>
          <w:tcPr>
            <w:tcW w:w="4980" w:type="dxa"/>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本科：临床医学（100201K）</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研究生及以上：儿科学(100202)</w:t>
            </w:r>
          </w:p>
        </w:tc>
        <w:tc>
          <w:tcPr>
            <w:tcW w:w="4296" w:type="dxa"/>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全日制普通本科学历及以上，内地大学英语四级425分以上或境外具备同等英语水平。</w:t>
            </w:r>
          </w:p>
        </w:tc>
        <w:tc>
          <w:tcPr>
            <w:tcW w:w="750" w:type="dxa"/>
            <w:vAlign w:val="center"/>
          </w:tcPr>
          <w:p>
            <w:pPr>
              <w:keepNext w:val="0"/>
              <w:keepLines w:val="0"/>
              <w:widowControl/>
              <w:suppressLineNumbers w:val="0"/>
              <w:jc w:val="center"/>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10</w:t>
            </w:r>
          </w:p>
        </w:tc>
        <w:tc>
          <w:tcPr>
            <w:tcW w:w="731" w:type="dxa"/>
            <w:vAlign w:val="center"/>
          </w:tcPr>
          <w:p>
            <w:pPr>
              <w:widowControl/>
              <w:jc w:val="lef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705" w:type="dxa"/>
            <w:vAlign w:val="center"/>
          </w:tcPr>
          <w:p>
            <w:pPr>
              <w:widowControl/>
              <w:jc w:val="center"/>
              <w:textAlignment w:val="center"/>
              <w:rPr>
                <w:rFonts w:ascii="宋体" w:hAnsi="宋体" w:cs="宋体"/>
                <w:kern w:val="0"/>
                <w:sz w:val="24"/>
                <w:szCs w:val="24"/>
              </w:rPr>
            </w:pPr>
            <w:r>
              <w:rPr>
                <w:rFonts w:hint="eastAsia" w:ascii="宋体" w:hAnsi="宋体" w:eastAsia="宋体" w:cs="宋体"/>
                <w:color w:val="000000"/>
                <w:kern w:val="0"/>
                <w:sz w:val="20"/>
                <w:szCs w:val="20"/>
              </w:rPr>
              <w:t>3</w:t>
            </w:r>
          </w:p>
        </w:tc>
        <w:tc>
          <w:tcPr>
            <w:tcW w:w="705" w:type="dxa"/>
            <w:vAlign w:val="center"/>
          </w:tcPr>
          <w:p>
            <w:pPr>
              <w:keepNext w:val="0"/>
              <w:keepLines w:val="0"/>
              <w:widowControl/>
              <w:suppressLineNumbers w:val="0"/>
              <w:jc w:val="center"/>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0300</w:t>
            </w:r>
          </w:p>
        </w:tc>
        <w:tc>
          <w:tcPr>
            <w:tcW w:w="1270" w:type="dxa"/>
            <w:vAlign w:val="center"/>
          </w:tcPr>
          <w:p>
            <w:pPr>
              <w:keepNext w:val="0"/>
              <w:keepLines w:val="0"/>
              <w:widowControl/>
              <w:suppressLineNumbers w:val="0"/>
              <w:jc w:val="center"/>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急诊科</w:t>
            </w:r>
          </w:p>
        </w:tc>
        <w:tc>
          <w:tcPr>
            <w:tcW w:w="1155" w:type="dxa"/>
            <w:vAlign w:val="center"/>
          </w:tcPr>
          <w:p>
            <w:pPr>
              <w:keepNext w:val="0"/>
              <w:keepLines w:val="0"/>
              <w:widowControl/>
              <w:suppressLineNumbers w:val="0"/>
              <w:jc w:val="center"/>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大学本科</w:t>
            </w:r>
          </w:p>
        </w:tc>
        <w:tc>
          <w:tcPr>
            <w:tcW w:w="1095" w:type="dxa"/>
            <w:vAlign w:val="center"/>
          </w:tcPr>
          <w:p>
            <w:pPr>
              <w:keepNext w:val="0"/>
              <w:keepLines w:val="0"/>
              <w:widowControl/>
              <w:suppressLineNumbers w:val="0"/>
              <w:jc w:val="center"/>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医学学士</w:t>
            </w:r>
          </w:p>
        </w:tc>
        <w:tc>
          <w:tcPr>
            <w:tcW w:w="4980" w:type="dxa"/>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本科：临床医学(100201K)</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研究生及以上：内科学（100201）、外科学（100210）、急诊医学(100218)、重症医学</w:t>
            </w:r>
          </w:p>
        </w:tc>
        <w:tc>
          <w:tcPr>
            <w:tcW w:w="4296" w:type="dxa"/>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全日制普通本科学历及以上，研究生为急诊医学、内科学、外科学、重症医学方向，内地大学英语四级425分以上或境外具备同等英语水平。</w:t>
            </w:r>
          </w:p>
        </w:tc>
        <w:tc>
          <w:tcPr>
            <w:tcW w:w="750" w:type="dxa"/>
            <w:vAlign w:val="center"/>
          </w:tcPr>
          <w:p>
            <w:pPr>
              <w:keepNext w:val="0"/>
              <w:keepLines w:val="0"/>
              <w:widowControl/>
              <w:suppressLineNumbers w:val="0"/>
              <w:jc w:val="center"/>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2</w:t>
            </w:r>
          </w:p>
        </w:tc>
        <w:tc>
          <w:tcPr>
            <w:tcW w:w="731" w:type="dxa"/>
            <w:vAlign w:val="center"/>
          </w:tcPr>
          <w:p>
            <w:pPr>
              <w:widowControl/>
              <w:jc w:val="lef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705" w:type="dxa"/>
            <w:vAlign w:val="center"/>
          </w:tcPr>
          <w:p>
            <w:pPr>
              <w:widowControl/>
              <w:jc w:val="center"/>
              <w:textAlignment w:val="center"/>
              <w:rPr>
                <w:rFonts w:ascii="宋体" w:hAnsi="宋体" w:cs="宋体"/>
                <w:kern w:val="0"/>
                <w:sz w:val="24"/>
                <w:szCs w:val="24"/>
              </w:rPr>
            </w:pPr>
            <w:r>
              <w:rPr>
                <w:rFonts w:hint="eastAsia" w:ascii="宋体" w:hAnsi="宋体" w:eastAsia="宋体" w:cs="宋体"/>
                <w:color w:val="000000"/>
                <w:kern w:val="0"/>
                <w:sz w:val="20"/>
                <w:szCs w:val="20"/>
              </w:rPr>
              <w:t>4</w:t>
            </w:r>
          </w:p>
        </w:tc>
        <w:tc>
          <w:tcPr>
            <w:tcW w:w="705" w:type="dxa"/>
            <w:vAlign w:val="center"/>
          </w:tcPr>
          <w:p>
            <w:pPr>
              <w:keepNext w:val="0"/>
              <w:keepLines w:val="0"/>
              <w:widowControl/>
              <w:suppressLineNumbers w:val="0"/>
              <w:jc w:val="center"/>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0400</w:t>
            </w:r>
          </w:p>
        </w:tc>
        <w:tc>
          <w:tcPr>
            <w:tcW w:w="1270" w:type="dxa"/>
            <w:vAlign w:val="center"/>
          </w:tcPr>
          <w:p>
            <w:pPr>
              <w:keepNext w:val="0"/>
              <w:keepLines w:val="0"/>
              <w:widowControl/>
              <w:suppressLineNumbers w:val="0"/>
              <w:jc w:val="center"/>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神经内科</w:t>
            </w:r>
          </w:p>
        </w:tc>
        <w:tc>
          <w:tcPr>
            <w:tcW w:w="1155" w:type="dxa"/>
            <w:vAlign w:val="center"/>
          </w:tcPr>
          <w:p>
            <w:pPr>
              <w:keepNext w:val="0"/>
              <w:keepLines w:val="0"/>
              <w:widowControl/>
              <w:suppressLineNumbers w:val="0"/>
              <w:jc w:val="center"/>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大学本科</w:t>
            </w:r>
          </w:p>
        </w:tc>
        <w:tc>
          <w:tcPr>
            <w:tcW w:w="1095" w:type="dxa"/>
            <w:vAlign w:val="center"/>
          </w:tcPr>
          <w:p>
            <w:pPr>
              <w:keepNext w:val="0"/>
              <w:keepLines w:val="0"/>
              <w:widowControl/>
              <w:suppressLineNumbers w:val="0"/>
              <w:jc w:val="center"/>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医学学士</w:t>
            </w:r>
          </w:p>
        </w:tc>
        <w:tc>
          <w:tcPr>
            <w:tcW w:w="4980" w:type="dxa"/>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本科：临床医学（100201K）</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研究生及以上：神经病学（100204）</w:t>
            </w:r>
          </w:p>
        </w:tc>
        <w:tc>
          <w:tcPr>
            <w:tcW w:w="4296" w:type="dxa"/>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全日制普通本科学历及以上，内地大学英语四级425分以上或境外具备同等英语水平。</w:t>
            </w:r>
          </w:p>
        </w:tc>
        <w:tc>
          <w:tcPr>
            <w:tcW w:w="750" w:type="dxa"/>
            <w:vAlign w:val="center"/>
          </w:tcPr>
          <w:p>
            <w:pPr>
              <w:keepNext w:val="0"/>
              <w:keepLines w:val="0"/>
              <w:widowControl/>
              <w:suppressLineNumbers w:val="0"/>
              <w:jc w:val="center"/>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7</w:t>
            </w:r>
          </w:p>
        </w:tc>
        <w:tc>
          <w:tcPr>
            <w:tcW w:w="731" w:type="dxa"/>
            <w:vAlign w:val="center"/>
          </w:tcPr>
          <w:p>
            <w:pPr>
              <w:widowControl/>
              <w:jc w:val="lef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05" w:type="dxa"/>
            <w:vAlign w:val="center"/>
          </w:tcPr>
          <w:p>
            <w:pPr>
              <w:widowControl/>
              <w:jc w:val="center"/>
              <w:textAlignment w:val="center"/>
              <w:rPr>
                <w:rFonts w:ascii="宋体" w:hAnsi="宋体" w:cs="宋体"/>
                <w:kern w:val="0"/>
                <w:sz w:val="24"/>
                <w:szCs w:val="24"/>
              </w:rPr>
            </w:pPr>
            <w:r>
              <w:rPr>
                <w:rFonts w:hint="eastAsia" w:ascii="宋体" w:hAnsi="宋体" w:eastAsia="宋体" w:cs="宋体"/>
                <w:color w:val="000000"/>
                <w:kern w:val="0"/>
                <w:sz w:val="20"/>
                <w:szCs w:val="20"/>
              </w:rPr>
              <w:t>5</w:t>
            </w:r>
          </w:p>
        </w:tc>
        <w:tc>
          <w:tcPr>
            <w:tcW w:w="705" w:type="dxa"/>
            <w:vAlign w:val="center"/>
          </w:tcPr>
          <w:p>
            <w:pPr>
              <w:keepNext w:val="0"/>
              <w:keepLines w:val="0"/>
              <w:widowControl/>
              <w:suppressLineNumbers w:val="0"/>
              <w:jc w:val="center"/>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0600</w:t>
            </w:r>
          </w:p>
        </w:tc>
        <w:tc>
          <w:tcPr>
            <w:tcW w:w="1270" w:type="dxa"/>
            <w:vAlign w:val="center"/>
          </w:tcPr>
          <w:p>
            <w:pPr>
              <w:keepNext w:val="0"/>
              <w:keepLines w:val="0"/>
              <w:widowControl/>
              <w:suppressLineNumbers w:val="0"/>
              <w:jc w:val="center"/>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皮肤科</w:t>
            </w:r>
          </w:p>
        </w:tc>
        <w:tc>
          <w:tcPr>
            <w:tcW w:w="1155" w:type="dxa"/>
            <w:vAlign w:val="center"/>
          </w:tcPr>
          <w:p>
            <w:pPr>
              <w:keepNext w:val="0"/>
              <w:keepLines w:val="0"/>
              <w:widowControl/>
              <w:suppressLineNumbers w:val="0"/>
              <w:jc w:val="center"/>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大学本科</w:t>
            </w:r>
          </w:p>
        </w:tc>
        <w:tc>
          <w:tcPr>
            <w:tcW w:w="1095" w:type="dxa"/>
            <w:vAlign w:val="center"/>
          </w:tcPr>
          <w:p>
            <w:pPr>
              <w:keepNext w:val="0"/>
              <w:keepLines w:val="0"/>
              <w:widowControl/>
              <w:suppressLineNumbers w:val="0"/>
              <w:jc w:val="center"/>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医学学士</w:t>
            </w:r>
          </w:p>
        </w:tc>
        <w:tc>
          <w:tcPr>
            <w:tcW w:w="4980" w:type="dxa"/>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临床医学（100201K）</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研究生及以上：皮肤病与性病学（100206）</w:t>
            </w:r>
          </w:p>
        </w:tc>
        <w:tc>
          <w:tcPr>
            <w:tcW w:w="4296" w:type="dxa"/>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全日制普通本科学历及以上，研究生为皮肤病与性病学方向，内地大学英语四级425分以上或境外具备同等英语水平。</w:t>
            </w:r>
          </w:p>
        </w:tc>
        <w:tc>
          <w:tcPr>
            <w:tcW w:w="750" w:type="dxa"/>
            <w:vAlign w:val="center"/>
          </w:tcPr>
          <w:p>
            <w:pPr>
              <w:keepNext w:val="0"/>
              <w:keepLines w:val="0"/>
              <w:widowControl/>
              <w:suppressLineNumbers w:val="0"/>
              <w:jc w:val="center"/>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5</w:t>
            </w:r>
          </w:p>
        </w:tc>
        <w:tc>
          <w:tcPr>
            <w:tcW w:w="731" w:type="dxa"/>
            <w:vAlign w:val="center"/>
          </w:tcPr>
          <w:p>
            <w:pPr>
              <w:widowControl/>
              <w:jc w:val="lef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705" w:type="dxa"/>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0700</w:t>
            </w:r>
          </w:p>
        </w:tc>
        <w:tc>
          <w:tcPr>
            <w:tcW w:w="1270" w:type="dxa"/>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全科</w:t>
            </w:r>
          </w:p>
        </w:tc>
        <w:tc>
          <w:tcPr>
            <w:tcW w:w="1155" w:type="dxa"/>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大学本科</w:t>
            </w:r>
          </w:p>
        </w:tc>
        <w:tc>
          <w:tcPr>
            <w:tcW w:w="1095" w:type="dxa"/>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医学学士</w:t>
            </w:r>
          </w:p>
        </w:tc>
        <w:tc>
          <w:tcPr>
            <w:tcW w:w="4980" w:type="dxa"/>
            <w:vAlign w:val="center"/>
          </w:tcPr>
          <w:p>
            <w:pPr>
              <w:keepNext w:val="0"/>
              <w:keepLines w:val="0"/>
              <w:widowControl/>
              <w:suppressLineNumbers w:val="0"/>
              <w:jc w:val="lef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本科：临床医学（100201K）</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研究生：研究生的本科专业须是临床医学</w:t>
            </w:r>
          </w:p>
        </w:tc>
        <w:tc>
          <w:tcPr>
            <w:tcW w:w="4296" w:type="dxa"/>
            <w:vAlign w:val="center"/>
          </w:tcPr>
          <w:p>
            <w:pPr>
              <w:keepNext w:val="0"/>
              <w:keepLines w:val="0"/>
              <w:widowControl/>
              <w:suppressLineNumbers w:val="0"/>
              <w:jc w:val="lef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全日制本科学历及以上，内地大学英语四级425分以上或境外具备同等英语水平。</w:t>
            </w:r>
          </w:p>
        </w:tc>
        <w:tc>
          <w:tcPr>
            <w:tcW w:w="750" w:type="dxa"/>
            <w:vAlign w:val="center"/>
          </w:tcPr>
          <w:p>
            <w:pPr>
              <w:keepNext w:val="0"/>
              <w:keepLines w:val="0"/>
              <w:widowControl/>
              <w:suppressLineNumbers w:val="0"/>
              <w:jc w:val="center"/>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24</w:t>
            </w:r>
          </w:p>
        </w:tc>
        <w:tc>
          <w:tcPr>
            <w:tcW w:w="731" w:type="dxa"/>
            <w:vAlign w:val="center"/>
          </w:tcPr>
          <w:p>
            <w:pPr>
              <w:widowControl/>
              <w:jc w:val="lef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w:t>
            </w:r>
          </w:p>
        </w:tc>
        <w:tc>
          <w:tcPr>
            <w:tcW w:w="705" w:type="dxa"/>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0900</w:t>
            </w:r>
          </w:p>
        </w:tc>
        <w:tc>
          <w:tcPr>
            <w:tcW w:w="1270" w:type="dxa"/>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外科</w:t>
            </w:r>
          </w:p>
        </w:tc>
        <w:tc>
          <w:tcPr>
            <w:tcW w:w="1155" w:type="dxa"/>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大学本科</w:t>
            </w:r>
          </w:p>
        </w:tc>
        <w:tc>
          <w:tcPr>
            <w:tcW w:w="1095" w:type="dxa"/>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医学学士</w:t>
            </w:r>
          </w:p>
        </w:tc>
        <w:tc>
          <w:tcPr>
            <w:tcW w:w="4980" w:type="dxa"/>
            <w:vAlign w:val="center"/>
          </w:tcPr>
          <w:p>
            <w:pPr>
              <w:keepNext w:val="0"/>
              <w:keepLines w:val="0"/>
              <w:widowControl/>
              <w:suppressLineNumbers w:val="0"/>
              <w:jc w:val="lef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本科：临床医学（100201K）</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研究生及以上：外科学（100210）</w:t>
            </w:r>
          </w:p>
        </w:tc>
        <w:tc>
          <w:tcPr>
            <w:tcW w:w="4296" w:type="dxa"/>
            <w:vAlign w:val="center"/>
          </w:tcPr>
          <w:p>
            <w:pPr>
              <w:keepNext w:val="0"/>
              <w:keepLines w:val="0"/>
              <w:widowControl/>
              <w:suppressLineNumbers w:val="0"/>
              <w:jc w:val="lef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全日制本科学历及以上，内地大学英语四级425分以上。研究生及通过大学英语六级者优先</w:t>
            </w:r>
          </w:p>
        </w:tc>
        <w:tc>
          <w:tcPr>
            <w:tcW w:w="750" w:type="dxa"/>
            <w:vAlign w:val="center"/>
          </w:tcPr>
          <w:p>
            <w:pPr>
              <w:keepNext w:val="0"/>
              <w:keepLines w:val="0"/>
              <w:widowControl/>
              <w:suppressLineNumbers w:val="0"/>
              <w:jc w:val="center"/>
              <w:textAlignment w:val="center"/>
              <w:rPr>
                <w:rFonts w:ascii="宋体" w:hAnsi="宋体" w:cs="宋体"/>
                <w:kern w:val="0"/>
                <w:sz w:val="24"/>
                <w:szCs w:val="24"/>
              </w:rPr>
            </w:pPr>
            <w:r>
              <w:rPr>
                <w:rFonts w:hint="eastAsia" w:ascii="宋体" w:hAnsi="宋体" w:eastAsia="宋体" w:cs="宋体"/>
                <w:i w:val="0"/>
                <w:color w:val="0070C0"/>
                <w:kern w:val="0"/>
                <w:sz w:val="20"/>
                <w:szCs w:val="20"/>
                <w:u w:val="none"/>
                <w:lang w:val="en-US" w:eastAsia="zh-CN" w:bidi="ar"/>
              </w:rPr>
              <w:t>9</w:t>
            </w:r>
          </w:p>
        </w:tc>
        <w:tc>
          <w:tcPr>
            <w:tcW w:w="731" w:type="dxa"/>
            <w:vAlign w:val="center"/>
          </w:tcPr>
          <w:p>
            <w:pPr>
              <w:widowControl/>
              <w:jc w:val="lef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705" w:type="dxa"/>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1200</w:t>
            </w:r>
          </w:p>
        </w:tc>
        <w:tc>
          <w:tcPr>
            <w:tcW w:w="1270" w:type="dxa"/>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外科（泌尿外科方向）</w:t>
            </w:r>
          </w:p>
        </w:tc>
        <w:tc>
          <w:tcPr>
            <w:tcW w:w="1155" w:type="dxa"/>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大学本科</w:t>
            </w:r>
          </w:p>
        </w:tc>
        <w:tc>
          <w:tcPr>
            <w:tcW w:w="1095" w:type="dxa"/>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医学学士</w:t>
            </w:r>
          </w:p>
        </w:tc>
        <w:tc>
          <w:tcPr>
            <w:tcW w:w="4980" w:type="dxa"/>
            <w:vAlign w:val="center"/>
          </w:tcPr>
          <w:p>
            <w:pPr>
              <w:keepNext w:val="0"/>
              <w:keepLines w:val="0"/>
              <w:widowControl/>
              <w:suppressLineNumbers w:val="0"/>
              <w:jc w:val="lef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本科：临床医学（100201K）</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研究生及以上：外科学泌尿外方向（100210）</w:t>
            </w:r>
          </w:p>
        </w:tc>
        <w:tc>
          <w:tcPr>
            <w:tcW w:w="4296" w:type="dxa"/>
            <w:vAlign w:val="center"/>
          </w:tcPr>
          <w:p>
            <w:pPr>
              <w:keepNext w:val="0"/>
              <w:keepLines w:val="0"/>
              <w:widowControl/>
              <w:suppressLineNumbers w:val="0"/>
              <w:jc w:val="lef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全日制普通本科学历及以上，内地大学英语四级425分以上或境外具备同等英语水平。985、211工程院校优先；通过大学英语六级者优先。</w:t>
            </w:r>
          </w:p>
        </w:tc>
        <w:tc>
          <w:tcPr>
            <w:tcW w:w="750" w:type="dxa"/>
            <w:vAlign w:val="center"/>
          </w:tcPr>
          <w:p>
            <w:pPr>
              <w:keepNext w:val="0"/>
              <w:keepLines w:val="0"/>
              <w:widowControl/>
              <w:suppressLineNumbers w:val="0"/>
              <w:jc w:val="center"/>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10</w:t>
            </w:r>
          </w:p>
        </w:tc>
        <w:tc>
          <w:tcPr>
            <w:tcW w:w="731" w:type="dxa"/>
            <w:vAlign w:val="center"/>
          </w:tcPr>
          <w:p>
            <w:pPr>
              <w:widowControl/>
              <w:jc w:val="lef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w:t>
            </w:r>
          </w:p>
        </w:tc>
        <w:tc>
          <w:tcPr>
            <w:tcW w:w="705" w:type="dxa"/>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1400</w:t>
            </w:r>
          </w:p>
        </w:tc>
        <w:tc>
          <w:tcPr>
            <w:tcW w:w="1270" w:type="dxa"/>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骨科</w:t>
            </w:r>
          </w:p>
        </w:tc>
        <w:tc>
          <w:tcPr>
            <w:tcW w:w="1155" w:type="dxa"/>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大学本科</w:t>
            </w:r>
          </w:p>
        </w:tc>
        <w:tc>
          <w:tcPr>
            <w:tcW w:w="1095" w:type="dxa"/>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医学学士</w:t>
            </w:r>
          </w:p>
        </w:tc>
        <w:tc>
          <w:tcPr>
            <w:tcW w:w="4980" w:type="dxa"/>
            <w:vAlign w:val="center"/>
          </w:tcPr>
          <w:p>
            <w:pPr>
              <w:keepNext w:val="0"/>
              <w:keepLines w:val="0"/>
              <w:widowControl/>
              <w:suppressLineNumbers w:val="0"/>
              <w:jc w:val="lef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本科：临床医学（100201K）</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研究生及以上：外科学骨外方向（100210）</w:t>
            </w:r>
          </w:p>
        </w:tc>
        <w:tc>
          <w:tcPr>
            <w:tcW w:w="4296" w:type="dxa"/>
            <w:vAlign w:val="center"/>
          </w:tcPr>
          <w:p>
            <w:pPr>
              <w:keepNext w:val="0"/>
              <w:keepLines w:val="0"/>
              <w:widowControl/>
              <w:suppressLineNumbers w:val="0"/>
              <w:jc w:val="lef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全日制普通本科学历及以上，内地大学英语四级425分以上或境外具备同等英语水平。</w:t>
            </w:r>
          </w:p>
        </w:tc>
        <w:tc>
          <w:tcPr>
            <w:tcW w:w="750" w:type="dxa"/>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2</w:t>
            </w:r>
          </w:p>
        </w:tc>
        <w:tc>
          <w:tcPr>
            <w:tcW w:w="731" w:type="dxa"/>
            <w:vAlign w:val="center"/>
          </w:tcPr>
          <w:p>
            <w:pPr>
              <w:widowControl/>
              <w:jc w:val="left"/>
              <w:rPr>
                <w:rFonts w:ascii="宋体" w:hAnsi="宋体" w:cs="宋体"/>
                <w:kern w:val="0"/>
                <w:sz w:val="24"/>
                <w:szCs w:val="24"/>
              </w:rPr>
            </w:pPr>
          </w:p>
        </w:tc>
      </w:tr>
    </w:tbl>
    <w:p/>
    <w:tbl>
      <w:tblPr>
        <w:tblStyle w:val="9"/>
        <w:tblpPr w:leftFromText="180" w:rightFromText="180" w:vertAnchor="text" w:horzAnchor="page" w:tblpX="688" w:tblpY="338"/>
        <w:tblOverlap w:val="never"/>
        <w:tblW w:w="155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05"/>
        <w:gridCol w:w="1270"/>
        <w:gridCol w:w="1155"/>
        <w:gridCol w:w="1095"/>
        <w:gridCol w:w="4980"/>
        <w:gridCol w:w="4050"/>
        <w:gridCol w:w="795"/>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trPr>
        <w:tc>
          <w:tcPr>
            <w:tcW w:w="705" w:type="dxa"/>
            <w:vMerge w:val="restart"/>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序号</w:t>
            </w:r>
          </w:p>
        </w:tc>
        <w:tc>
          <w:tcPr>
            <w:tcW w:w="705" w:type="dxa"/>
            <w:vMerge w:val="restart"/>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专业代码</w:t>
            </w:r>
          </w:p>
        </w:tc>
        <w:tc>
          <w:tcPr>
            <w:tcW w:w="1270" w:type="dxa"/>
            <w:vMerge w:val="restart"/>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专业基地名称</w:t>
            </w:r>
          </w:p>
        </w:tc>
        <w:tc>
          <w:tcPr>
            <w:tcW w:w="7230" w:type="dxa"/>
            <w:gridSpan w:val="3"/>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学历及专业要求</w:t>
            </w:r>
          </w:p>
        </w:tc>
        <w:tc>
          <w:tcPr>
            <w:tcW w:w="4050" w:type="dxa"/>
            <w:vMerge w:val="restart"/>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其他要求</w:t>
            </w:r>
          </w:p>
        </w:tc>
        <w:tc>
          <w:tcPr>
            <w:tcW w:w="795" w:type="dxa"/>
            <w:vMerge w:val="restart"/>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数量</w:t>
            </w:r>
          </w:p>
        </w:tc>
        <w:tc>
          <w:tcPr>
            <w:tcW w:w="810" w:type="dxa"/>
            <w:vMerge w:val="restart"/>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705" w:type="dxa"/>
            <w:vMerge w:val="continue"/>
            <w:vAlign w:val="center"/>
          </w:tcPr>
          <w:p>
            <w:pPr>
              <w:widowControl/>
              <w:jc w:val="left"/>
              <w:rPr>
                <w:rFonts w:ascii="黑体" w:hAnsi="黑体" w:eastAsia="黑体" w:cs="宋体"/>
                <w:bCs/>
                <w:kern w:val="0"/>
                <w:szCs w:val="21"/>
              </w:rPr>
            </w:pPr>
          </w:p>
        </w:tc>
        <w:tc>
          <w:tcPr>
            <w:tcW w:w="705" w:type="dxa"/>
            <w:vMerge w:val="continue"/>
            <w:vAlign w:val="center"/>
          </w:tcPr>
          <w:p>
            <w:pPr>
              <w:widowControl/>
              <w:jc w:val="left"/>
              <w:rPr>
                <w:rFonts w:ascii="黑体" w:hAnsi="黑体" w:eastAsia="黑体" w:cs="宋体"/>
                <w:bCs/>
                <w:kern w:val="0"/>
                <w:szCs w:val="21"/>
              </w:rPr>
            </w:pPr>
          </w:p>
        </w:tc>
        <w:tc>
          <w:tcPr>
            <w:tcW w:w="1270" w:type="dxa"/>
            <w:vMerge w:val="continue"/>
            <w:vAlign w:val="center"/>
          </w:tcPr>
          <w:p>
            <w:pPr>
              <w:widowControl/>
              <w:jc w:val="left"/>
              <w:rPr>
                <w:rFonts w:ascii="黑体" w:hAnsi="黑体" w:eastAsia="黑体" w:cs="宋体"/>
                <w:bCs/>
                <w:kern w:val="0"/>
                <w:szCs w:val="21"/>
              </w:rPr>
            </w:pPr>
          </w:p>
        </w:tc>
        <w:tc>
          <w:tcPr>
            <w:tcW w:w="1155" w:type="dxa"/>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最低学历</w:t>
            </w:r>
          </w:p>
        </w:tc>
        <w:tc>
          <w:tcPr>
            <w:tcW w:w="1095" w:type="dxa"/>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最低学位</w:t>
            </w:r>
          </w:p>
        </w:tc>
        <w:tc>
          <w:tcPr>
            <w:tcW w:w="4980" w:type="dxa"/>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所学专业（专业代码、研究方向）</w:t>
            </w:r>
          </w:p>
        </w:tc>
        <w:tc>
          <w:tcPr>
            <w:tcW w:w="4050" w:type="dxa"/>
            <w:vMerge w:val="continue"/>
            <w:vAlign w:val="center"/>
          </w:tcPr>
          <w:p>
            <w:pPr>
              <w:widowControl/>
              <w:jc w:val="left"/>
              <w:rPr>
                <w:rFonts w:ascii="宋体" w:hAnsi="宋体" w:cs="宋体"/>
                <w:b/>
                <w:bCs/>
                <w:kern w:val="0"/>
                <w:sz w:val="20"/>
                <w:szCs w:val="20"/>
              </w:rPr>
            </w:pPr>
          </w:p>
        </w:tc>
        <w:tc>
          <w:tcPr>
            <w:tcW w:w="795" w:type="dxa"/>
            <w:vMerge w:val="continue"/>
            <w:vAlign w:val="center"/>
          </w:tcPr>
          <w:p>
            <w:pPr>
              <w:widowControl/>
              <w:jc w:val="left"/>
              <w:rPr>
                <w:rFonts w:ascii="宋体" w:hAnsi="宋体" w:cs="宋体"/>
                <w:b/>
                <w:bCs/>
                <w:kern w:val="0"/>
                <w:sz w:val="20"/>
                <w:szCs w:val="20"/>
              </w:rPr>
            </w:pPr>
          </w:p>
        </w:tc>
        <w:tc>
          <w:tcPr>
            <w:tcW w:w="810" w:type="dxa"/>
            <w:vMerge w:val="continue"/>
            <w:vAlign w:val="center"/>
          </w:tcPr>
          <w:p>
            <w:pPr>
              <w:widowControl/>
              <w:jc w:val="left"/>
              <w:rPr>
                <w:rFonts w:ascii="宋体" w:hAnsi="宋体"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705" w:type="dxa"/>
            <w:vAlign w:val="center"/>
          </w:tcPr>
          <w:p>
            <w:pPr>
              <w:widowControl/>
              <w:jc w:val="center"/>
              <w:textAlignment w:val="center"/>
              <w:rPr>
                <w:rFonts w:ascii="黑体" w:hAnsi="黑体" w:eastAsia="黑体" w:cs="宋体"/>
                <w:bCs/>
                <w:kern w:val="0"/>
                <w:szCs w:val="21"/>
              </w:rPr>
            </w:pPr>
            <w:r>
              <w:rPr>
                <w:rFonts w:hint="eastAsia" w:ascii="宋体" w:hAnsi="宋体" w:eastAsia="宋体" w:cs="宋体"/>
                <w:color w:val="000000"/>
                <w:kern w:val="0"/>
                <w:sz w:val="20"/>
                <w:szCs w:val="20"/>
              </w:rPr>
              <w:t>10</w:t>
            </w:r>
          </w:p>
        </w:tc>
        <w:tc>
          <w:tcPr>
            <w:tcW w:w="705" w:type="dxa"/>
            <w:vAlign w:val="center"/>
          </w:tcPr>
          <w:p>
            <w:pPr>
              <w:keepNext w:val="0"/>
              <w:keepLines w:val="0"/>
              <w:widowControl/>
              <w:suppressLineNumbers w:val="0"/>
              <w:jc w:val="center"/>
              <w:textAlignment w:val="center"/>
              <w:rPr>
                <w:rFonts w:ascii="黑体" w:hAnsi="黑体" w:eastAsia="黑体" w:cs="宋体"/>
                <w:bCs/>
                <w:kern w:val="0"/>
                <w:szCs w:val="21"/>
              </w:rPr>
            </w:pPr>
            <w:r>
              <w:rPr>
                <w:rFonts w:hint="eastAsia" w:ascii="宋体" w:hAnsi="宋体" w:eastAsia="宋体" w:cs="宋体"/>
                <w:i w:val="0"/>
                <w:color w:val="000000"/>
                <w:kern w:val="0"/>
                <w:sz w:val="20"/>
                <w:szCs w:val="20"/>
                <w:u w:val="none"/>
                <w:lang w:val="en-US" w:eastAsia="zh-CN" w:bidi="ar"/>
              </w:rPr>
              <w:t>1600</w:t>
            </w:r>
          </w:p>
        </w:tc>
        <w:tc>
          <w:tcPr>
            <w:tcW w:w="1270" w:type="dxa"/>
            <w:vAlign w:val="center"/>
          </w:tcPr>
          <w:p>
            <w:pPr>
              <w:keepNext w:val="0"/>
              <w:keepLines w:val="0"/>
              <w:widowControl/>
              <w:suppressLineNumbers w:val="0"/>
              <w:jc w:val="center"/>
              <w:textAlignment w:val="center"/>
              <w:rPr>
                <w:rFonts w:ascii="黑体" w:hAnsi="黑体" w:eastAsia="黑体" w:cs="宋体"/>
                <w:bCs/>
                <w:kern w:val="0"/>
                <w:szCs w:val="21"/>
              </w:rPr>
            </w:pPr>
            <w:r>
              <w:rPr>
                <w:rFonts w:hint="eastAsia" w:ascii="宋体" w:hAnsi="宋体" w:eastAsia="宋体" w:cs="宋体"/>
                <w:i w:val="0"/>
                <w:color w:val="000000"/>
                <w:kern w:val="0"/>
                <w:sz w:val="20"/>
                <w:szCs w:val="20"/>
                <w:u w:val="none"/>
                <w:lang w:val="en-US" w:eastAsia="zh-CN" w:bidi="ar"/>
              </w:rPr>
              <w:t>妇产科</w:t>
            </w:r>
          </w:p>
        </w:tc>
        <w:tc>
          <w:tcPr>
            <w:tcW w:w="1155" w:type="dxa"/>
            <w:vAlign w:val="center"/>
          </w:tcPr>
          <w:p>
            <w:pPr>
              <w:keepNext w:val="0"/>
              <w:keepLines w:val="0"/>
              <w:widowControl/>
              <w:suppressLineNumbers w:val="0"/>
              <w:jc w:val="center"/>
              <w:textAlignment w:val="center"/>
              <w:rPr>
                <w:rFonts w:ascii="黑体" w:hAnsi="黑体" w:eastAsia="黑体" w:cs="宋体"/>
                <w:b/>
                <w:kern w:val="0"/>
                <w:szCs w:val="21"/>
              </w:rPr>
            </w:pPr>
            <w:r>
              <w:rPr>
                <w:rFonts w:hint="eastAsia" w:ascii="宋体" w:hAnsi="宋体" w:eastAsia="宋体" w:cs="宋体"/>
                <w:i w:val="0"/>
                <w:color w:val="000000"/>
                <w:kern w:val="0"/>
                <w:sz w:val="20"/>
                <w:szCs w:val="20"/>
                <w:u w:val="none"/>
                <w:lang w:val="en-US" w:eastAsia="zh-CN" w:bidi="ar"/>
              </w:rPr>
              <w:t>大学本科</w:t>
            </w:r>
          </w:p>
        </w:tc>
        <w:tc>
          <w:tcPr>
            <w:tcW w:w="1095" w:type="dxa"/>
            <w:vAlign w:val="center"/>
          </w:tcPr>
          <w:p>
            <w:pPr>
              <w:keepNext w:val="0"/>
              <w:keepLines w:val="0"/>
              <w:widowControl/>
              <w:suppressLineNumbers w:val="0"/>
              <w:jc w:val="center"/>
              <w:textAlignment w:val="center"/>
              <w:rPr>
                <w:rFonts w:ascii="黑体" w:hAnsi="黑体" w:eastAsia="黑体" w:cs="宋体"/>
                <w:b/>
                <w:kern w:val="0"/>
                <w:szCs w:val="21"/>
              </w:rPr>
            </w:pPr>
            <w:r>
              <w:rPr>
                <w:rFonts w:hint="eastAsia" w:ascii="宋体" w:hAnsi="宋体" w:eastAsia="宋体" w:cs="宋体"/>
                <w:i w:val="0"/>
                <w:color w:val="000000"/>
                <w:kern w:val="0"/>
                <w:sz w:val="20"/>
                <w:szCs w:val="20"/>
                <w:u w:val="none"/>
                <w:lang w:val="en-US" w:eastAsia="zh-CN" w:bidi="ar"/>
              </w:rPr>
              <w:t>医学学士</w:t>
            </w:r>
          </w:p>
        </w:tc>
        <w:tc>
          <w:tcPr>
            <w:tcW w:w="4980" w:type="dxa"/>
            <w:vAlign w:val="center"/>
          </w:tcPr>
          <w:p>
            <w:pPr>
              <w:keepNext w:val="0"/>
              <w:keepLines w:val="0"/>
              <w:widowControl/>
              <w:suppressLineNumbers w:val="0"/>
              <w:jc w:val="left"/>
              <w:textAlignment w:val="center"/>
              <w:rPr>
                <w:rFonts w:ascii="黑体" w:hAnsi="黑体" w:eastAsia="黑体" w:cs="宋体"/>
                <w:b/>
                <w:kern w:val="0"/>
                <w:szCs w:val="21"/>
              </w:rPr>
            </w:pPr>
            <w:r>
              <w:rPr>
                <w:rFonts w:hint="eastAsia" w:ascii="宋体" w:hAnsi="宋体" w:eastAsia="宋体" w:cs="宋体"/>
                <w:i w:val="0"/>
                <w:color w:val="000000"/>
                <w:kern w:val="0"/>
                <w:sz w:val="20"/>
                <w:szCs w:val="20"/>
                <w:u w:val="none"/>
                <w:lang w:val="en-US" w:eastAsia="zh-CN" w:bidi="ar"/>
              </w:rPr>
              <w:t>本科：临床医学（100201K）</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研究生及以上：妇产科学（100211）</w:t>
            </w:r>
          </w:p>
        </w:tc>
        <w:tc>
          <w:tcPr>
            <w:tcW w:w="4050" w:type="dxa"/>
            <w:vAlign w:val="center"/>
          </w:tcPr>
          <w:p>
            <w:pPr>
              <w:keepNext w:val="0"/>
              <w:keepLines w:val="0"/>
              <w:widowControl/>
              <w:suppressLineNumbers w:val="0"/>
              <w:jc w:val="left"/>
              <w:textAlignment w:val="center"/>
              <w:rPr>
                <w:rFonts w:ascii="宋体" w:hAnsi="宋体" w:cs="宋体"/>
                <w:b/>
                <w:bCs/>
                <w:kern w:val="0"/>
                <w:sz w:val="20"/>
                <w:szCs w:val="20"/>
              </w:rPr>
            </w:pPr>
            <w:r>
              <w:rPr>
                <w:rFonts w:hint="eastAsia" w:ascii="宋体" w:hAnsi="宋体" w:eastAsia="宋体" w:cs="宋体"/>
                <w:i w:val="0"/>
                <w:color w:val="000000"/>
                <w:kern w:val="0"/>
                <w:sz w:val="20"/>
                <w:szCs w:val="20"/>
                <w:u w:val="none"/>
                <w:lang w:val="en-US" w:eastAsia="zh-CN" w:bidi="ar"/>
              </w:rPr>
              <w:t>全日制普通本科学历及以上，内地大学英语四级425分以上或境外具备同等英语水平。</w:t>
            </w:r>
          </w:p>
        </w:tc>
        <w:tc>
          <w:tcPr>
            <w:tcW w:w="795" w:type="dxa"/>
            <w:vAlign w:val="center"/>
          </w:tcPr>
          <w:p>
            <w:pPr>
              <w:keepNext w:val="0"/>
              <w:keepLines w:val="0"/>
              <w:widowControl/>
              <w:suppressLineNumbers w:val="0"/>
              <w:jc w:val="center"/>
              <w:textAlignment w:val="center"/>
              <w:rPr>
                <w:rFonts w:ascii="宋体" w:hAnsi="宋体" w:cs="宋体"/>
                <w:b/>
                <w:bCs/>
                <w:kern w:val="0"/>
                <w:sz w:val="20"/>
                <w:szCs w:val="20"/>
              </w:rPr>
            </w:pPr>
            <w:r>
              <w:rPr>
                <w:rFonts w:hint="eastAsia" w:ascii="宋体" w:hAnsi="宋体" w:eastAsia="宋体" w:cs="宋体"/>
                <w:i w:val="0"/>
                <w:color w:val="000000"/>
                <w:kern w:val="0"/>
                <w:sz w:val="20"/>
                <w:szCs w:val="20"/>
                <w:u w:val="none"/>
                <w:lang w:val="en-US" w:eastAsia="zh-CN" w:bidi="ar"/>
              </w:rPr>
              <w:t>7</w:t>
            </w:r>
          </w:p>
        </w:tc>
        <w:tc>
          <w:tcPr>
            <w:tcW w:w="810" w:type="dxa"/>
            <w:vAlign w:val="center"/>
          </w:tcPr>
          <w:p>
            <w:pPr>
              <w:widowControl/>
              <w:jc w:val="left"/>
              <w:rPr>
                <w:rFonts w:ascii="宋体" w:hAnsi="宋体"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705" w:type="dxa"/>
            <w:vAlign w:val="center"/>
          </w:tcPr>
          <w:p>
            <w:pPr>
              <w:widowControl/>
              <w:jc w:val="center"/>
              <w:textAlignment w:val="center"/>
              <w:rPr>
                <w:rFonts w:ascii="黑体" w:hAnsi="黑体" w:eastAsia="黑体" w:cs="宋体"/>
                <w:bCs/>
                <w:kern w:val="0"/>
                <w:szCs w:val="21"/>
              </w:rPr>
            </w:pPr>
            <w:r>
              <w:rPr>
                <w:rFonts w:hint="eastAsia" w:ascii="宋体" w:hAnsi="宋体" w:eastAsia="宋体" w:cs="宋体"/>
                <w:color w:val="000000"/>
                <w:kern w:val="0"/>
                <w:sz w:val="20"/>
                <w:szCs w:val="20"/>
              </w:rPr>
              <w:t>11</w:t>
            </w:r>
          </w:p>
        </w:tc>
        <w:tc>
          <w:tcPr>
            <w:tcW w:w="705" w:type="dxa"/>
            <w:vAlign w:val="center"/>
          </w:tcPr>
          <w:p>
            <w:pPr>
              <w:keepNext w:val="0"/>
              <w:keepLines w:val="0"/>
              <w:widowControl/>
              <w:suppressLineNumbers w:val="0"/>
              <w:jc w:val="center"/>
              <w:textAlignment w:val="center"/>
              <w:rPr>
                <w:rFonts w:ascii="黑体" w:hAnsi="黑体" w:eastAsia="黑体" w:cs="宋体"/>
                <w:bCs/>
                <w:kern w:val="0"/>
                <w:szCs w:val="21"/>
              </w:rPr>
            </w:pPr>
            <w:r>
              <w:rPr>
                <w:rFonts w:hint="eastAsia" w:ascii="宋体" w:hAnsi="宋体" w:eastAsia="宋体" w:cs="宋体"/>
                <w:i w:val="0"/>
                <w:color w:val="000000"/>
                <w:kern w:val="0"/>
                <w:sz w:val="20"/>
                <w:szCs w:val="20"/>
                <w:u w:val="none"/>
                <w:lang w:val="en-US" w:eastAsia="zh-CN" w:bidi="ar"/>
              </w:rPr>
              <w:t>1800</w:t>
            </w:r>
          </w:p>
        </w:tc>
        <w:tc>
          <w:tcPr>
            <w:tcW w:w="1270" w:type="dxa"/>
            <w:vAlign w:val="center"/>
          </w:tcPr>
          <w:p>
            <w:pPr>
              <w:keepNext w:val="0"/>
              <w:keepLines w:val="0"/>
              <w:widowControl/>
              <w:suppressLineNumbers w:val="0"/>
              <w:jc w:val="center"/>
              <w:textAlignment w:val="center"/>
              <w:rPr>
                <w:rFonts w:ascii="黑体" w:hAnsi="黑体" w:eastAsia="黑体" w:cs="宋体"/>
                <w:bCs/>
                <w:kern w:val="0"/>
                <w:szCs w:val="21"/>
              </w:rPr>
            </w:pPr>
            <w:r>
              <w:rPr>
                <w:rFonts w:hint="eastAsia" w:ascii="宋体" w:hAnsi="宋体" w:eastAsia="宋体" w:cs="宋体"/>
                <w:i w:val="0"/>
                <w:color w:val="000000"/>
                <w:kern w:val="0"/>
                <w:sz w:val="20"/>
                <w:szCs w:val="20"/>
                <w:u w:val="none"/>
                <w:lang w:val="en-US" w:eastAsia="zh-CN" w:bidi="ar"/>
              </w:rPr>
              <w:t>耳鼻咽喉科</w:t>
            </w:r>
          </w:p>
        </w:tc>
        <w:tc>
          <w:tcPr>
            <w:tcW w:w="1155" w:type="dxa"/>
            <w:vAlign w:val="center"/>
          </w:tcPr>
          <w:p>
            <w:pPr>
              <w:keepNext w:val="0"/>
              <w:keepLines w:val="0"/>
              <w:widowControl/>
              <w:suppressLineNumbers w:val="0"/>
              <w:jc w:val="center"/>
              <w:textAlignment w:val="center"/>
              <w:rPr>
                <w:rFonts w:ascii="黑体" w:hAnsi="黑体" w:eastAsia="黑体" w:cs="宋体"/>
                <w:b/>
                <w:kern w:val="0"/>
                <w:szCs w:val="21"/>
              </w:rPr>
            </w:pPr>
            <w:r>
              <w:rPr>
                <w:rFonts w:hint="eastAsia" w:ascii="宋体" w:hAnsi="宋体" w:eastAsia="宋体" w:cs="宋体"/>
                <w:i w:val="0"/>
                <w:color w:val="000000"/>
                <w:kern w:val="0"/>
                <w:sz w:val="20"/>
                <w:szCs w:val="20"/>
                <w:u w:val="none"/>
                <w:lang w:val="en-US" w:eastAsia="zh-CN" w:bidi="ar"/>
              </w:rPr>
              <w:t>大学本科</w:t>
            </w:r>
          </w:p>
        </w:tc>
        <w:tc>
          <w:tcPr>
            <w:tcW w:w="1095" w:type="dxa"/>
            <w:vAlign w:val="center"/>
          </w:tcPr>
          <w:p>
            <w:pPr>
              <w:keepNext w:val="0"/>
              <w:keepLines w:val="0"/>
              <w:widowControl/>
              <w:suppressLineNumbers w:val="0"/>
              <w:jc w:val="center"/>
              <w:textAlignment w:val="center"/>
              <w:rPr>
                <w:rFonts w:ascii="黑体" w:hAnsi="黑体" w:eastAsia="黑体" w:cs="宋体"/>
                <w:b/>
                <w:kern w:val="0"/>
                <w:szCs w:val="21"/>
              </w:rPr>
            </w:pPr>
            <w:r>
              <w:rPr>
                <w:rFonts w:hint="eastAsia" w:ascii="宋体" w:hAnsi="宋体" w:eastAsia="宋体" w:cs="宋体"/>
                <w:i w:val="0"/>
                <w:color w:val="000000"/>
                <w:kern w:val="0"/>
                <w:sz w:val="20"/>
                <w:szCs w:val="20"/>
                <w:u w:val="none"/>
                <w:lang w:val="en-US" w:eastAsia="zh-CN" w:bidi="ar"/>
              </w:rPr>
              <w:t>医学学士</w:t>
            </w:r>
          </w:p>
        </w:tc>
        <w:tc>
          <w:tcPr>
            <w:tcW w:w="4980" w:type="dxa"/>
            <w:vAlign w:val="center"/>
          </w:tcPr>
          <w:p>
            <w:pPr>
              <w:keepNext w:val="0"/>
              <w:keepLines w:val="0"/>
              <w:widowControl/>
              <w:suppressLineNumbers w:val="0"/>
              <w:jc w:val="left"/>
              <w:textAlignment w:val="center"/>
              <w:rPr>
                <w:rFonts w:ascii="黑体" w:hAnsi="黑体" w:eastAsia="黑体" w:cs="宋体"/>
                <w:b/>
                <w:kern w:val="0"/>
                <w:szCs w:val="21"/>
              </w:rPr>
            </w:pPr>
            <w:r>
              <w:rPr>
                <w:rFonts w:hint="eastAsia" w:ascii="宋体" w:hAnsi="宋体" w:eastAsia="宋体" w:cs="宋体"/>
                <w:i w:val="0"/>
                <w:color w:val="000000"/>
                <w:kern w:val="0"/>
                <w:sz w:val="20"/>
                <w:szCs w:val="20"/>
                <w:u w:val="none"/>
                <w:lang w:val="en-US" w:eastAsia="zh-CN" w:bidi="ar"/>
              </w:rPr>
              <w:t>本科：临床医学（100201K）</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研究生及以上：耳鼻咽喉科学（100213）、头颈外科（HK专业）</w:t>
            </w:r>
          </w:p>
        </w:tc>
        <w:tc>
          <w:tcPr>
            <w:tcW w:w="4050" w:type="dxa"/>
            <w:vAlign w:val="center"/>
          </w:tcPr>
          <w:p>
            <w:pPr>
              <w:keepNext w:val="0"/>
              <w:keepLines w:val="0"/>
              <w:widowControl/>
              <w:suppressLineNumbers w:val="0"/>
              <w:jc w:val="left"/>
              <w:textAlignment w:val="center"/>
              <w:rPr>
                <w:rFonts w:ascii="宋体" w:hAnsi="宋体" w:cs="宋体"/>
                <w:b/>
                <w:bCs/>
                <w:kern w:val="0"/>
                <w:sz w:val="20"/>
                <w:szCs w:val="20"/>
              </w:rPr>
            </w:pPr>
            <w:r>
              <w:rPr>
                <w:rFonts w:hint="eastAsia" w:ascii="宋体" w:hAnsi="宋体" w:eastAsia="宋体" w:cs="宋体"/>
                <w:i w:val="0"/>
                <w:color w:val="000000"/>
                <w:kern w:val="0"/>
                <w:sz w:val="20"/>
                <w:szCs w:val="20"/>
                <w:u w:val="none"/>
                <w:lang w:val="en-US" w:eastAsia="zh-CN" w:bidi="ar"/>
              </w:rPr>
              <w:t>全日制普通本科学历及以上，内地大学英语四级425分以上或境外具备同等英语水平。</w:t>
            </w:r>
          </w:p>
        </w:tc>
        <w:tc>
          <w:tcPr>
            <w:tcW w:w="795" w:type="dxa"/>
            <w:vAlign w:val="center"/>
          </w:tcPr>
          <w:p>
            <w:pPr>
              <w:keepNext w:val="0"/>
              <w:keepLines w:val="0"/>
              <w:widowControl/>
              <w:suppressLineNumbers w:val="0"/>
              <w:jc w:val="center"/>
              <w:textAlignment w:val="center"/>
              <w:rPr>
                <w:rFonts w:ascii="宋体" w:hAnsi="宋体" w:cs="宋体"/>
                <w:b/>
                <w:bCs/>
                <w:kern w:val="0"/>
                <w:sz w:val="20"/>
                <w:szCs w:val="20"/>
              </w:rPr>
            </w:pPr>
            <w:r>
              <w:rPr>
                <w:rFonts w:hint="eastAsia" w:ascii="宋体" w:hAnsi="宋体" w:eastAsia="宋体" w:cs="宋体"/>
                <w:i w:val="0"/>
                <w:color w:val="000000"/>
                <w:kern w:val="0"/>
                <w:sz w:val="20"/>
                <w:szCs w:val="20"/>
                <w:u w:val="none"/>
                <w:lang w:val="en-US" w:eastAsia="zh-CN" w:bidi="ar"/>
              </w:rPr>
              <w:t>2</w:t>
            </w:r>
          </w:p>
        </w:tc>
        <w:tc>
          <w:tcPr>
            <w:tcW w:w="810" w:type="dxa"/>
            <w:vAlign w:val="center"/>
          </w:tcPr>
          <w:p>
            <w:pPr>
              <w:widowControl/>
              <w:jc w:val="left"/>
              <w:rPr>
                <w:rFonts w:ascii="宋体" w:hAnsi="宋体"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705" w:type="dxa"/>
            <w:vAlign w:val="center"/>
          </w:tcPr>
          <w:p>
            <w:pPr>
              <w:widowControl/>
              <w:jc w:val="center"/>
              <w:textAlignment w:val="center"/>
              <w:rPr>
                <w:rFonts w:ascii="黑体" w:hAnsi="黑体" w:eastAsia="黑体" w:cs="宋体"/>
                <w:bCs/>
                <w:kern w:val="0"/>
                <w:szCs w:val="21"/>
              </w:rPr>
            </w:pPr>
            <w:r>
              <w:rPr>
                <w:rFonts w:hint="eastAsia" w:ascii="宋体" w:hAnsi="宋体" w:eastAsia="宋体" w:cs="宋体"/>
                <w:color w:val="000000"/>
                <w:kern w:val="0"/>
                <w:sz w:val="20"/>
                <w:szCs w:val="20"/>
              </w:rPr>
              <w:t>12</w:t>
            </w:r>
          </w:p>
        </w:tc>
        <w:tc>
          <w:tcPr>
            <w:tcW w:w="705" w:type="dxa"/>
            <w:vAlign w:val="center"/>
          </w:tcPr>
          <w:p>
            <w:pPr>
              <w:keepNext w:val="0"/>
              <w:keepLines w:val="0"/>
              <w:widowControl/>
              <w:suppressLineNumbers w:val="0"/>
              <w:jc w:val="center"/>
              <w:textAlignment w:val="center"/>
              <w:rPr>
                <w:rFonts w:ascii="黑体" w:hAnsi="黑体" w:eastAsia="黑体" w:cs="宋体"/>
                <w:bCs/>
                <w:kern w:val="0"/>
                <w:szCs w:val="21"/>
              </w:rPr>
            </w:pPr>
            <w:r>
              <w:rPr>
                <w:rFonts w:hint="eastAsia" w:ascii="宋体" w:hAnsi="宋体" w:eastAsia="宋体" w:cs="宋体"/>
                <w:i w:val="0"/>
                <w:color w:val="000000"/>
                <w:kern w:val="0"/>
                <w:sz w:val="20"/>
                <w:szCs w:val="20"/>
                <w:u w:val="none"/>
                <w:lang w:val="en-US" w:eastAsia="zh-CN" w:bidi="ar"/>
              </w:rPr>
              <w:t>1900</w:t>
            </w:r>
          </w:p>
        </w:tc>
        <w:tc>
          <w:tcPr>
            <w:tcW w:w="1270" w:type="dxa"/>
            <w:vAlign w:val="center"/>
          </w:tcPr>
          <w:p>
            <w:pPr>
              <w:keepNext w:val="0"/>
              <w:keepLines w:val="0"/>
              <w:widowControl/>
              <w:suppressLineNumbers w:val="0"/>
              <w:jc w:val="center"/>
              <w:textAlignment w:val="center"/>
              <w:rPr>
                <w:rFonts w:ascii="黑体" w:hAnsi="黑体" w:eastAsia="黑体" w:cs="宋体"/>
                <w:bCs/>
                <w:kern w:val="0"/>
                <w:szCs w:val="21"/>
              </w:rPr>
            </w:pPr>
            <w:r>
              <w:rPr>
                <w:rFonts w:hint="eastAsia" w:ascii="宋体" w:hAnsi="宋体" w:eastAsia="宋体" w:cs="宋体"/>
                <w:i w:val="0"/>
                <w:color w:val="000000"/>
                <w:kern w:val="0"/>
                <w:sz w:val="20"/>
                <w:szCs w:val="20"/>
                <w:u w:val="none"/>
                <w:lang w:val="en-US" w:eastAsia="zh-CN" w:bidi="ar"/>
              </w:rPr>
              <w:t>麻醉科</w:t>
            </w:r>
          </w:p>
        </w:tc>
        <w:tc>
          <w:tcPr>
            <w:tcW w:w="1155" w:type="dxa"/>
            <w:vAlign w:val="center"/>
          </w:tcPr>
          <w:p>
            <w:pPr>
              <w:keepNext w:val="0"/>
              <w:keepLines w:val="0"/>
              <w:widowControl/>
              <w:suppressLineNumbers w:val="0"/>
              <w:jc w:val="center"/>
              <w:textAlignment w:val="center"/>
              <w:rPr>
                <w:rFonts w:ascii="黑体" w:hAnsi="黑体" w:eastAsia="黑体" w:cs="宋体"/>
                <w:b/>
                <w:kern w:val="0"/>
                <w:szCs w:val="21"/>
              </w:rPr>
            </w:pPr>
            <w:r>
              <w:rPr>
                <w:rFonts w:hint="eastAsia" w:ascii="宋体" w:hAnsi="宋体" w:eastAsia="宋体" w:cs="宋体"/>
                <w:i w:val="0"/>
                <w:color w:val="000000"/>
                <w:kern w:val="0"/>
                <w:sz w:val="20"/>
                <w:szCs w:val="20"/>
                <w:u w:val="none"/>
                <w:lang w:val="en-US" w:eastAsia="zh-CN" w:bidi="ar"/>
              </w:rPr>
              <w:t>大学本科</w:t>
            </w:r>
          </w:p>
        </w:tc>
        <w:tc>
          <w:tcPr>
            <w:tcW w:w="1095" w:type="dxa"/>
            <w:vAlign w:val="center"/>
          </w:tcPr>
          <w:p>
            <w:pPr>
              <w:keepNext w:val="0"/>
              <w:keepLines w:val="0"/>
              <w:widowControl/>
              <w:suppressLineNumbers w:val="0"/>
              <w:jc w:val="center"/>
              <w:textAlignment w:val="center"/>
              <w:rPr>
                <w:rFonts w:ascii="黑体" w:hAnsi="黑体" w:eastAsia="黑体" w:cs="宋体"/>
                <w:b/>
                <w:kern w:val="0"/>
                <w:szCs w:val="21"/>
              </w:rPr>
            </w:pPr>
            <w:r>
              <w:rPr>
                <w:rFonts w:hint="eastAsia" w:ascii="宋体" w:hAnsi="宋体" w:eastAsia="宋体" w:cs="宋体"/>
                <w:i w:val="0"/>
                <w:color w:val="000000"/>
                <w:kern w:val="0"/>
                <w:sz w:val="20"/>
                <w:szCs w:val="20"/>
                <w:u w:val="none"/>
                <w:lang w:val="en-US" w:eastAsia="zh-CN" w:bidi="ar"/>
              </w:rPr>
              <w:t>医学学士</w:t>
            </w:r>
          </w:p>
        </w:tc>
        <w:tc>
          <w:tcPr>
            <w:tcW w:w="4980" w:type="dxa"/>
            <w:vAlign w:val="center"/>
          </w:tcPr>
          <w:p>
            <w:pPr>
              <w:keepNext w:val="0"/>
              <w:keepLines w:val="0"/>
              <w:widowControl/>
              <w:suppressLineNumbers w:val="0"/>
              <w:jc w:val="left"/>
              <w:textAlignment w:val="center"/>
              <w:rPr>
                <w:rFonts w:ascii="黑体" w:hAnsi="黑体" w:eastAsia="黑体" w:cs="宋体"/>
                <w:b/>
                <w:kern w:val="0"/>
                <w:szCs w:val="21"/>
              </w:rPr>
            </w:pPr>
            <w:r>
              <w:rPr>
                <w:rFonts w:hint="eastAsia" w:ascii="宋体" w:hAnsi="宋体" w:eastAsia="宋体" w:cs="宋体"/>
                <w:i w:val="0"/>
                <w:color w:val="000000"/>
                <w:kern w:val="0"/>
                <w:sz w:val="20"/>
                <w:szCs w:val="20"/>
                <w:u w:val="none"/>
                <w:lang w:val="en-US" w:eastAsia="zh-CN" w:bidi="ar"/>
              </w:rPr>
              <w:t>本科：临床医学（100201K）、麻醉学(100202TK)；</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研究生及以上：麻醉学（100217）</w:t>
            </w:r>
          </w:p>
        </w:tc>
        <w:tc>
          <w:tcPr>
            <w:tcW w:w="4050" w:type="dxa"/>
            <w:vAlign w:val="center"/>
          </w:tcPr>
          <w:p>
            <w:pPr>
              <w:keepNext w:val="0"/>
              <w:keepLines w:val="0"/>
              <w:widowControl/>
              <w:suppressLineNumbers w:val="0"/>
              <w:jc w:val="left"/>
              <w:textAlignment w:val="center"/>
              <w:rPr>
                <w:rFonts w:ascii="宋体" w:hAnsi="宋体" w:cs="宋体"/>
                <w:b/>
                <w:bCs/>
                <w:kern w:val="0"/>
                <w:sz w:val="20"/>
                <w:szCs w:val="20"/>
              </w:rPr>
            </w:pPr>
            <w:r>
              <w:rPr>
                <w:rFonts w:hint="eastAsia" w:ascii="宋体" w:hAnsi="宋体" w:eastAsia="宋体" w:cs="宋体"/>
                <w:i w:val="0"/>
                <w:color w:val="000000"/>
                <w:kern w:val="0"/>
                <w:sz w:val="20"/>
                <w:szCs w:val="20"/>
                <w:u w:val="none"/>
                <w:lang w:val="en-US" w:eastAsia="zh-CN" w:bidi="ar"/>
              </w:rPr>
              <w:t>全日制普通本科学历及以上，内地大学英语四级优秀通过，六级优先或境外具备同等英语水平。</w:t>
            </w:r>
          </w:p>
        </w:tc>
        <w:tc>
          <w:tcPr>
            <w:tcW w:w="795" w:type="dxa"/>
            <w:vAlign w:val="center"/>
          </w:tcPr>
          <w:p>
            <w:pPr>
              <w:keepNext w:val="0"/>
              <w:keepLines w:val="0"/>
              <w:widowControl/>
              <w:suppressLineNumbers w:val="0"/>
              <w:jc w:val="center"/>
              <w:textAlignment w:val="center"/>
              <w:rPr>
                <w:rFonts w:ascii="宋体" w:hAnsi="宋体" w:cs="宋体"/>
                <w:b/>
                <w:bCs/>
                <w:kern w:val="0"/>
                <w:sz w:val="20"/>
                <w:szCs w:val="20"/>
              </w:rPr>
            </w:pPr>
            <w:r>
              <w:rPr>
                <w:rFonts w:hint="eastAsia" w:ascii="宋体" w:hAnsi="宋体" w:eastAsia="宋体" w:cs="宋体"/>
                <w:i w:val="0"/>
                <w:color w:val="000000"/>
                <w:kern w:val="0"/>
                <w:sz w:val="20"/>
                <w:szCs w:val="20"/>
                <w:u w:val="none"/>
                <w:lang w:val="en-US" w:eastAsia="zh-CN" w:bidi="ar"/>
              </w:rPr>
              <w:t>6</w:t>
            </w:r>
          </w:p>
        </w:tc>
        <w:tc>
          <w:tcPr>
            <w:tcW w:w="810" w:type="dxa"/>
            <w:vAlign w:val="center"/>
          </w:tcPr>
          <w:p>
            <w:pPr>
              <w:widowControl/>
              <w:jc w:val="left"/>
              <w:rPr>
                <w:rFonts w:ascii="宋体" w:hAnsi="宋体"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705" w:type="dxa"/>
            <w:vAlign w:val="center"/>
          </w:tcPr>
          <w:p>
            <w:pPr>
              <w:widowControl/>
              <w:jc w:val="center"/>
              <w:textAlignment w:val="center"/>
              <w:rPr>
                <w:rFonts w:ascii="黑体" w:hAnsi="黑体" w:eastAsia="黑体" w:cs="宋体"/>
                <w:bCs/>
                <w:kern w:val="0"/>
                <w:szCs w:val="21"/>
              </w:rPr>
            </w:pPr>
            <w:r>
              <w:rPr>
                <w:rFonts w:hint="eastAsia" w:ascii="宋体" w:hAnsi="宋体" w:eastAsia="宋体" w:cs="宋体"/>
                <w:color w:val="000000"/>
                <w:kern w:val="0"/>
                <w:sz w:val="20"/>
                <w:szCs w:val="20"/>
              </w:rPr>
              <w:t>13</w:t>
            </w:r>
          </w:p>
        </w:tc>
        <w:tc>
          <w:tcPr>
            <w:tcW w:w="705" w:type="dxa"/>
            <w:vAlign w:val="center"/>
          </w:tcPr>
          <w:p>
            <w:pPr>
              <w:keepNext w:val="0"/>
              <w:keepLines w:val="0"/>
              <w:widowControl/>
              <w:suppressLineNumbers w:val="0"/>
              <w:jc w:val="center"/>
              <w:textAlignment w:val="center"/>
              <w:rPr>
                <w:rFonts w:ascii="黑体" w:hAnsi="黑体" w:eastAsia="黑体" w:cs="宋体"/>
                <w:bCs/>
                <w:kern w:val="0"/>
                <w:szCs w:val="21"/>
              </w:rPr>
            </w:pPr>
            <w:r>
              <w:rPr>
                <w:rFonts w:hint="eastAsia" w:ascii="宋体" w:hAnsi="宋体" w:eastAsia="宋体" w:cs="宋体"/>
                <w:i w:val="0"/>
                <w:color w:val="000000"/>
                <w:kern w:val="0"/>
                <w:sz w:val="20"/>
                <w:szCs w:val="20"/>
                <w:u w:val="none"/>
                <w:lang w:val="en-US" w:eastAsia="zh-CN" w:bidi="ar"/>
              </w:rPr>
              <w:t>2000</w:t>
            </w:r>
          </w:p>
        </w:tc>
        <w:tc>
          <w:tcPr>
            <w:tcW w:w="1270" w:type="dxa"/>
            <w:vAlign w:val="center"/>
          </w:tcPr>
          <w:p>
            <w:pPr>
              <w:keepNext w:val="0"/>
              <w:keepLines w:val="0"/>
              <w:widowControl/>
              <w:suppressLineNumbers w:val="0"/>
              <w:jc w:val="center"/>
              <w:textAlignment w:val="center"/>
              <w:rPr>
                <w:rFonts w:ascii="黑体" w:hAnsi="黑体" w:eastAsia="黑体" w:cs="宋体"/>
                <w:bCs/>
                <w:kern w:val="0"/>
                <w:szCs w:val="21"/>
              </w:rPr>
            </w:pPr>
            <w:r>
              <w:rPr>
                <w:rFonts w:hint="eastAsia" w:ascii="宋体" w:hAnsi="宋体" w:eastAsia="宋体" w:cs="宋体"/>
                <w:i w:val="0"/>
                <w:color w:val="000000"/>
                <w:kern w:val="0"/>
                <w:sz w:val="20"/>
                <w:szCs w:val="20"/>
                <w:u w:val="none"/>
                <w:lang w:val="en-US" w:eastAsia="zh-CN" w:bidi="ar"/>
              </w:rPr>
              <w:t>临床病理科</w:t>
            </w:r>
          </w:p>
        </w:tc>
        <w:tc>
          <w:tcPr>
            <w:tcW w:w="1155" w:type="dxa"/>
            <w:vAlign w:val="center"/>
          </w:tcPr>
          <w:p>
            <w:pPr>
              <w:keepNext w:val="0"/>
              <w:keepLines w:val="0"/>
              <w:widowControl/>
              <w:suppressLineNumbers w:val="0"/>
              <w:jc w:val="center"/>
              <w:textAlignment w:val="center"/>
              <w:rPr>
                <w:rFonts w:ascii="黑体" w:hAnsi="黑体" w:eastAsia="黑体" w:cs="宋体"/>
                <w:b/>
                <w:kern w:val="0"/>
                <w:szCs w:val="21"/>
              </w:rPr>
            </w:pPr>
            <w:r>
              <w:rPr>
                <w:rFonts w:hint="eastAsia" w:ascii="宋体" w:hAnsi="宋体" w:eastAsia="宋体" w:cs="宋体"/>
                <w:i w:val="0"/>
                <w:color w:val="000000"/>
                <w:kern w:val="0"/>
                <w:sz w:val="20"/>
                <w:szCs w:val="20"/>
                <w:u w:val="none"/>
                <w:lang w:val="en-US" w:eastAsia="zh-CN" w:bidi="ar"/>
              </w:rPr>
              <w:t>大学本科</w:t>
            </w:r>
          </w:p>
        </w:tc>
        <w:tc>
          <w:tcPr>
            <w:tcW w:w="1095" w:type="dxa"/>
            <w:vAlign w:val="center"/>
          </w:tcPr>
          <w:p>
            <w:pPr>
              <w:keepNext w:val="0"/>
              <w:keepLines w:val="0"/>
              <w:widowControl/>
              <w:suppressLineNumbers w:val="0"/>
              <w:jc w:val="center"/>
              <w:textAlignment w:val="center"/>
              <w:rPr>
                <w:rFonts w:ascii="黑体" w:hAnsi="黑体" w:eastAsia="黑体" w:cs="宋体"/>
                <w:b/>
                <w:kern w:val="0"/>
                <w:szCs w:val="21"/>
              </w:rPr>
            </w:pPr>
            <w:r>
              <w:rPr>
                <w:rFonts w:hint="eastAsia" w:ascii="宋体" w:hAnsi="宋体" w:eastAsia="宋体" w:cs="宋体"/>
                <w:i w:val="0"/>
                <w:color w:val="000000"/>
                <w:kern w:val="0"/>
                <w:sz w:val="20"/>
                <w:szCs w:val="20"/>
                <w:u w:val="none"/>
                <w:lang w:val="en-US" w:eastAsia="zh-CN" w:bidi="ar"/>
              </w:rPr>
              <w:t>医学学士</w:t>
            </w:r>
          </w:p>
        </w:tc>
        <w:tc>
          <w:tcPr>
            <w:tcW w:w="4980" w:type="dxa"/>
            <w:vAlign w:val="center"/>
          </w:tcPr>
          <w:p>
            <w:pPr>
              <w:keepNext w:val="0"/>
              <w:keepLines w:val="0"/>
              <w:widowControl/>
              <w:suppressLineNumbers w:val="0"/>
              <w:jc w:val="left"/>
              <w:textAlignment w:val="center"/>
              <w:rPr>
                <w:rFonts w:ascii="黑体" w:hAnsi="黑体" w:eastAsia="黑体" w:cs="宋体"/>
                <w:b/>
                <w:kern w:val="0"/>
                <w:szCs w:val="21"/>
              </w:rPr>
            </w:pPr>
            <w:r>
              <w:rPr>
                <w:rFonts w:hint="eastAsia" w:ascii="宋体" w:hAnsi="宋体" w:eastAsia="宋体" w:cs="宋体"/>
                <w:i w:val="0"/>
                <w:color w:val="000000"/>
                <w:kern w:val="0"/>
                <w:sz w:val="20"/>
                <w:szCs w:val="20"/>
                <w:u w:val="none"/>
                <w:lang w:val="en-US" w:eastAsia="zh-CN" w:bidi="ar"/>
              </w:rPr>
              <w:t>本科：临床医学（100201K）</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研究生及以上：病理学与病理生理（100104）</w:t>
            </w:r>
          </w:p>
        </w:tc>
        <w:tc>
          <w:tcPr>
            <w:tcW w:w="4050" w:type="dxa"/>
            <w:vAlign w:val="center"/>
          </w:tcPr>
          <w:p>
            <w:pPr>
              <w:keepNext w:val="0"/>
              <w:keepLines w:val="0"/>
              <w:widowControl/>
              <w:suppressLineNumbers w:val="0"/>
              <w:jc w:val="left"/>
              <w:textAlignment w:val="center"/>
              <w:rPr>
                <w:rFonts w:ascii="宋体" w:hAnsi="宋体" w:cs="宋体"/>
                <w:b/>
                <w:bCs/>
                <w:kern w:val="0"/>
                <w:sz w:val="20"/>
                <w:szCs w:val="20"/>
              </w:rPr>
            </w:pPr>
            <w:r>
              <w:rPr>
                <w:rFonts w:hint="eastAsia" w:ascii="宋体" w:hAnsi="宋体" w:eastAsia="宋体" w:cs="宋体"/>
                <w:i w:val="0"/>
                <w:color w:val="000000"/>
                <w:kern w:val="0"/>
                <w:sz w:val="20"/>
                <w:szCs w:val="20"/>
                <w:u w:val="none"/>
                <w:lang w:val="en-US" w:eastAsia="zh-CN" w:bidi="ar"/>
              </w:rPr>
              <w:t>全日制普通本科学历及以上，（研究生为病理学与病理生理学专业），大学英语四级425分以上。</w:t>
            </w:r>
          </w:p>
        </w:tc>
        <w:tc>
          <w:tcPr>
            <w:tcW w:w="795" w:type="dxa"/>
            <w:vAlign w:val="center"/>
          </w:tcPr>
          <w:p>
            <w:pPr>
              <w:keepNext w:val="0"/>
              <w:keepLines w:val="0"/>
              <w:widowControl/>
              <w:suppressLineNumbers w:val="0"/>
              <w:jc w:val="center"/>
              <w:textAlignment w:val="center"/>
              <w:rPr>
                <w:rFonts w:ascii="宋体" w:hAnsi="宋体" w:cs="宋体"/>
                <w:b/>
                <w:bCs/>
                <w:kern w:val="0"/>
                <w:sz w:val="20"/>
                <w:szCs w:val="20"/>
              </w:rPr>
            </w:pPr>
            <w:r>
              <w:rPr>
                <w:rFonts w:hint="eastAsia" w:ascii="宋体" w:hAnsi="宋体" w:eastAsia="宋体" w:cs="宋体"/>
                <w:i w:val="0"/>
                <w:color w:val="000000"/>
                <w:kern w:val="0"/>
                <w:sz w:val="20"/>
                <w:szCs w:val="20"/>
                <w:u w:val="none"/>
                <w:lang w:val="en-US" w:eastAsia="zh-CN" w:bidi="ar"/>
              </w:rPr>
              <w:t>2</w:t>
            </w:r>
          </w:p>
        </w:tc>
        <w:tc>
          <w:tcPr>
            <w:tcW w:w="810" w:type="dxa"/>
            <w:vAlign w:val="center"/>
          </w:tcPr>
          <w:p>
            <w:pPr>
              <w:widowControl/>
              <w:jc w:val="left"/>
              <w:rPr>
                <w:rFonts w:ascii="宋体" w:hAnsi="宋体"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705" w:type="dxa"/>
            <w:vAlign w:val="center"/>
          </w:tcPr>
          <w:p>
            <w:pPr>
              <w:widowControl/>
              <w:jc w:val="center"/>
              <w:textAlignment w:val="center"/>
              <w:rPr>
                <w:rFonts w:ascii="黑体" w:hAnsi="黑体" w:eastAsia="黑体" w:cs="宋体"/>
                <w:bCs/>
                <w:kern w:val="0"/>
                <w:szCs w:val="21"/>
              </w:rPr>
            </w:pPr>
            <w:r>
              <w:rPr>
                <w:rFonts w:hint="eastAsia" w:ascii="宋体" w:hAnsi="宋体" w:eastAsia="宋体" w:cs="宋体"/>
                <w:color w:val="000000"/>
                <w:kern w:val="0"/>
                <w:sz w:val="20"/>
                <w:szCs w:val="20"/>
              </w:rPr>
              <w:t>14</w:t>
            </w:r>
          </w:p>
        </w:tc>
        <w:tc>
          <w:tcPr>
            <w:tcW w:w="705" w:type="dxa"/>
            <w:vAlign w:val="center"/>
          </w:tcPr>
          <w:p>
            <w:pPr>
              <w:keepNext w:val="0"/>
              <w:keepLines w:val="0"/>
              <w:widowControl/>
              <w:suppressLineNumbers w:val="0"/>
              <w:jc w:val="center"/>
              <w:textAlignment w:val="center"/>
              <w:rPr>
                <w:rFonts w:ascii="黑体" w:hAnsi="黑体" w:eastAsia="黑体" w:cs="宋体"/>
                <w:bCs/>
                <w:kern w:val="0"/>
                <w:szCs w:val="21"/>
              </w:rPr>
            </w:pPr>
            <w:r>
              <w:rPr>
                <w:rFonts w:hint="eastAsia" w:ascii="宋体" w:hAnsi="宋体" w:eastAsia="宋体" w:cs="宋体"/>
                <w:i w:val="0"/>
                <w:color w:val="000000"/>
                <w:kern w:val="0"/>
                <w:sz w:val="20"/>
                <w:szCs w:val="20"/>
                <w:u w:val="none"/>
                <w:lang w:val="en-US" w:eastAsia="zh-CN" w:bidi="ar"/>
              </w:rPr>
              <w:t>2100</w:t>
            </w:r>
          </w:p>
        </w:tc>
        <w:tc>
          <w:tcPr>
            <w:tcW w:w="1270" w:type="dxa"/>
            <w:vAlign w:val="center"/>
          </w:tcPr>
          <w:p>
            <w:pPr>
              <w:keepNext w:val="0"/>
              <w:keepLines w:val="0"/>
              <w:widowControl/>
              <w:suppressLineNumbers w:val="0"/>
              <w:jc w:val="center"/>
              <w:textAlignment w:val="center"/>
              <w:rPr>
                <w:rFonts w:ascii="黑体" w:hAnsi="黑体" w:eastAsia="黑体" w:cs="宋体"/>
                <w:bCs/>
                <w:kern w:val="0"/>
                <w:szCs w:val="21"/>
              </w:rPr>
            </w:pPr>
            <w:r>
              <w:rPr>
                <w:rFonts w:hint="eastAsia" w:ascii="宋体" w:hAnsi="宋体" w:eastAsia="宋体" w:cs="宋体"/>
                <w:i w:val="0"/>
                <w:color w:val="000000"/>
                <w:kern w:val="0"/>
                <w:sz w:val="20"/>
                <w:szCs w:val="20"/>
                <w:u w:val="none"/>
                <w:lang w:val="en-US" w:eastAsia="zh-CN" w:bidi="ar"/>
              </w:rPr>
              <w:t>检验医学科</w:t>
            </w:r>
          </w:p>
        </w:tc>
        <w:tc>
          <w:tcPr>
            <w:tcW w:w="1155" w:type="dxa"/>
            <w:vAlign w:val="center"/>
          </w:tcPr>
          <w:p>
            <w:pPr>
              <w:keepNext w:val="0"/>
              <w:keepLines w:val="0"/>
              <w:widowControl/>
              <w:suppressLineNumbers w:val="0"/>
              <w:jc w:val="center"/>
              <w:textAlignment w:val="center"/>
              <w:rPr>
                <w:rFonts w:ascii="黑体" w:hAnsi="黑体" w:eastAsia="黑体" w:cs="宋体"/>
                <w:b/>
                <w:kern w:val="0"/>
                <w:szCs w:val="21"/>
              </w:rPr>
            </w:pPr>
            <w:r>
              <w:rPr>
                <w:rFonts w:hint="eastAsia" w:ascii="宋体" w:hAnsi="宋体" w:eastAsia="宋体" w:cs="宋体"/>
                <w:i w:val="0"/>
                <w:color w:val="000000"/>
                <w:kern w:val="0"/>
                <w:sz w:val="20"/>
                <w:szCs w:val="20"/>
                <w:u w:val="none"/>
                <w:lang w:val="en-US" w:eastAsia="zh-CN" w:bidi="ar"/>
              </w:rPr>
              <w:t>大学本科</w:t>
            </w:r>
          </w:p>
        </w:tc>
        <w:tc>
          <w:tcPr>
            <w:tcW w:w="1095" w:type="dxa"/>
            <w:vAlign w:val="center"/>
          </w:tcPr>
          <w:p>
            <w:pPr>
              <w:keepNext w:val="0"/>
              <w:keepLines w:val="0"/>
              <w:widowControl/>
              <w:suppressLineNumbers w:val="0"/>
              <w:jc w:val="center"/>
              <w:textAlignment w:val="center"/>
              <w:rPr>
                <w:rFonts w:ascii="黑体" w:hAnsi="黑体" w:eastAsia="黑体" w:cs="宋体"/>
                <w:b/>
                <w:kern w:val="0"/>
                <w:szCs w:val="21"/>
              </w:rPr>
            </w:pPr>
            <w:r>
              <w:rPr>
                <w:rFonts w:hint="eastAsia" w:ascii="宋体" w:hAnsi="宋体" w:eastAsia="宋体" w:cs="宋体"/>
                <w:i w:val="0"/>
                <w:color w:val="000000"/>
                <w:kern w:val="0"/>
                <w:sz w:val="20"/>
                <w:szCs w:val="20"/>
                <w:u w:val="none"/>
                <w:lang w:val="en-US" w:eastAsia="zh-CN" w:bidi="ar"/>
              </w:rPr>
              <w:t>医学学士</w:t>
            </w:r>
          </w:p>
        </w:tc>
        <w:tc>
          <w:tcPr>
            <w:tcW w:w="4980" w:type="dxa"/>
            <w:vAlign w:val="center"/>
          </w:tcPr>
          <w:p>
            <w:pPr>
              <w:keepNext w:val="0"/>
              <w:keepLines w:val="0"/>
              <w:widowControl/>
              <w:suppressLineNumbers w:val="0"/>
              <w:jc w:val="left"/>
              <w:textAlignment w:val="center"/>
              <w:rPr>
                <w:rFonts w:ascii="黑体" w:hAnsi="黑体" w:eastAsia="黑体" w:cs="宋体"/>
                <w:b/>
                <w:kern w:val="0"/>
                <w:szCs w:val="21"/>
              </w:rPr>
            </w:pPr>
            <w:r>
              <w:rPr>
                <w:rFonts w:hint="eastAsia" w:ascii="宋体" w:hAnsi="宋体" w:eastAsia="宋体" w:cs="宋体"/>
                <w:i w:val="0"/>
                <w:color w:val="000000"/>
                <w:kern w:val="0"/>
                <w:sz w:val="20"/>
                <w:szCs w:val="20"/>
                <w:u w:val="none"/>
                <w:lang w:val="en-US" w:eastAsia="zh-CN" w:bidi="ar"/>
              </w:rPr>
              <w:t>本科：临床医学（100201K）</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研究生及以上：临床检验诊断（100208）</w:t>
            </w:r>
          </w:p>
        </w:tc>
        <w:tc>
          <w:tcPr>
            <w:tcW w:w="4050" w:type="dxa"/>
            <w:vAlign w:val="center"/>
          </w:tcPr>
          <w:p>
            <w:pPr>
              <w:keepNext w:val="0"/>
              <w:keepLines w:val="0"/>
              <w:widowControl/>
              <w:suppressLineNumbers w:val="0"/>
              <w:jc w:val="left"/>
              <w:textAlignment w:val="center"/>
              <w:rPr>
                <w:rFonts w:ascii="宋体" w:hAnsi="宋体" w:cs="宋体"/>
                <w:b/>
                <w:bCs/>
                <w:kern w:val="0"/>
                <w:sz w:val="20"/>
                <w:szCs w:val="20"/>
              </w:rPr>
            </w:pPr>
            <w:r>
              <w:rPr>
                <w:rFonts w:hint="eastAsia" w:ascii="宋体" w:hAnsi="宋体" w:eastAsia="宋体" w:cs="宋体"/>
                <w:i w:val="0"/>
                <w:color w:val="000000"/>
                <w:kern w:val="0"/>
                <w:sz w:val="20"/>
                <w:szCs w:val="20"/>
                <w:u w:val="none"/>
                <w:lang w:val="en-US" w:eastAsia="zh-CN" w:bidi="ar"/>
              </w:rPr>
              <w:t>全日制本科及以上，（研究生为检验专业方向），大学英语四级425分以上。</w:t>
            </w:r>
          </w:p>
        </w:tc>
        <w:tc>
          <w:tcPr>
            <w:tcW w:w="795" w:type="dxa"/>
            <w:vAlign w:val="center"/>
          </w:tcPr>
          <w:p>
            <w:pPr>
              <w:keepNext w:val="0"/>
              <w:keepLines w:val="0"/>
              <w:widowControl/>
              <w:suppressLineNumbers w:val="0"/>
              <w:jc w:val="center"/>
              <w:textAlignment w:val="center"/>
              <w:rPr>
                <w:rFonts w:ascii="宋体" w:hAnsi="宋体" w:cs="宋体"/>
                <w:b/>
                <w:bCs/>
                <w:kern w:val="0"/>
                <w:sz w:val="20"/>
                <w:szCs w:val="20"/>
              </w:rPr>
            </w:pPr>
            <w:r>
              <w:rPr>
                <w:rFonts w:hint="eastAsia" w:ascii="宋体" w:hAnsi="宋体" w:eastAsia="宋体" w:cs="宋体"/>
                <w:i w:val="0"/>
                <w:color w:val="000000"/>
                <w:kern w:val="0"/>
                <w:sz w:val="20"/>
                <w:szCs w:val="20"/>
                <w:u w:val="none"/>
                <w:lang w:val="en-US" w:eastAsia="zh-CN" w:bidi="ar"/>
              </w:rPr>
              <w:t>8</w:t>
            </w:r>
          </w:p>
        </w:tc>
        <w:tc>
          <w:tcPr>
            <w:tcW w:w="810" w:type="dxa"/>
            <w:vAlign w:val="center"/>
          </w:tcPr>
          <w:p>
            <w:pPr>
              <w:widowControl/>
              <w:jc w:val="left"/>
              <w:rPr>
                <w:rFonts w:ascii="宋体" w:hAnsi="宋体"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705" w:type="dxa"/>
            <w:vAlign w:val="center"/>
          </w:tcPr>
          <w:p>
            <w:pPr>
              <w:widowControl/>
              <w:jc w:val="center"/>
              <w:textAlignment w:val="center"/>
              <w:rPr>
                <w:rFonts w:ascii="黑体" w:hAnsi="黑体" w:eastAsia="黑体" w:cs="宋体"/>
                <w:bCs/>
                <w:kern w:val="0"/>
                <w:szCs w:val="21"/>
              </w:rPr>
            </w:pPr>
            <w:r>
              <w:rPr>
                <w:rFonts w:hint="eastAsia" w:ascii="宋体" w:hAnsi="宋体" w:eastAsia="宋体" w:cs="宋体"/>
                <w:color w:val="000000"/>
                <w:kern w:val="0"/>
                <w:sz w:val="20"/>
                <w:szCs w:val="20"/>
              </w:rPr>
              <w:t>15</w:t>
            </w:r>
          </w:p>
        </w:tc>
        <w:tc>
          <w:tcPr>
            <w:tcW w:w="705" w:type="dxa"/>
            <w:vAlign w:val="center"/>
          </w:tcPr>
          <w:p>
            <w:pPr>
              <w:keepNext w:val="0"/>
              <w:keepLines w:val="0"/>
              <w:widowControl/>
              <w:suppressLineNumbers w:val="0"/>
              <w:jc w:val="center"/>
              <w:textAlignment w:val="center"/>
              <w:rPr>
                <w:rFonts w:ascii="黑体" w:hAnsi="黑体" w:eastAsia="黑体" w:cs="宋体"/>
                <w:bCs/>
                <w:kern w:val="0"/>
                <w:szCs w:val="21"/>
              </w:rPr>
            </w:pPr>
            <w:r>
              <w:rPr>
                <w:rFonts w:hint="eastAsia" w:ascii="宋体" w:hAnsi="宋体" w:eastAsia="宋体" w:cs="宋体"/>
                <w:i w:val="0"/>
                <w:color w:val="000000"/>
                <w:kern w:val="0"/>
                <w:sz w:val="20"/>
                <w:szCs w:val="20"/>
                <w:u w:val="none"/>
                <w:lang w:val="en-US" w:eastAsia="zh-CN" w:bidi="ar"/>
              </w:rPr>
              <w:t>2200</w:t>
            </w:r>
          </w:p>
        </w:tc>
        <w:tc>
          <w:tcPr>
            <w:tcW w:w="1270" w:type="dxa"/>
            <w:vAlign w:val="center"/>
          </w:tcPr>
          <w:p>
            <w:pPr>
              <w:keepNext w:val="0"/>
              <w:keepLines w:val="0"/>
              <w:widowControl/>
              <w:suppressLineNumbers w:val="0"/>
              <w:jc w:val="center"/>
              <w:textAlignment w:val="center"/>
              <w:rPr>
                <w:rFonts w:ascii="黑体" w:hAnsi="黑体" w:eastAsia="黑体" w:cs="宋体"/>
                <w:bCs/>
                <w:kern w:val="0"/>
                <w:szCs w:val="21"/>
              </w:rPr>
            </w:pPr>
            <w:r>
              <w:rPr>
                <w:rFonts w:hint="eastAsia" w:ascii="宋体" w:hAnsi="宋体" w:eastAsia="宋体" w:cs="宋体"/>
                <w:i w:val="0"/>
                <w:color w:val="000000"/>
                <w:kern w:val="0"/>
                <w:sz w:val="20"/>
                <w:szCs w:val="20"/>
                <w:u w:val="none"/>
                <w:lang w:val="en-US" w:eastAsia="zh-CN" w:bidi="ar"/>
              </w:rPr>
              <w:t>超声医学科</w:t>
            </w:r>
          </w:p>
        </w:tc>
        <w:tc>
          <w:tcPr>
            <w:tcW w:w="1155" w:type="dxa"/>
            <w:vAlign w:val="center"/>
          </w:tcPr>
          <w:p>
            <w:pPr>
              <w:keepNext w:val="0"/>
              <w:keepLines w:val="0"/>
              <w:widowControl/>
              <w:suppressLineNumbers w:val="0"/>
              <w:jc w:val="center"/>
              <w:textAlignment w:val="center"/>
              <w:rPr>
                <w:rFonts w:ascii="黑体" w:hAnsi="黑体" w:eastAsia="黑体" w:cs="宋体"/>
                <w:b/>
                <w:kern w:val="0"/>
                <w:szCs w:val="21"/>
              </w:rPr>
            </w:pPr>
            <w:r>
              <w:rPr>
                <w:rFonts w:hint="eastAsia" w:ascii="宋体" w:hAnsi="宋体" w:eastAsia="宋体" w:cs="宋体"/>
                <w:i w:val="0"/>
                <w:color w:val="000000"/>
                <w:kern w:val="0"/>
                <w:sz w:val="20"/>
                <w:szCs w:val="20"/>
                <w:u w:val="none"/>
                <w:lang w:val="en-US" w:eastAsia="zh-CN" w:bidi="ar"/>
              </w:rPr>
              <w:t>大学本科</w:t>
            </w:r>
          </w:p>
        </w:tc>
        <w:tc>
          <w:tcPr>
            <w:tcW w:w="1095" w:type="dxa"/>
            <w:vAlign w:val="center"/>
          </w:tcPr>
          <w:p>
            <w:pPr>
              <w:keepNext w:val="0"/>
              <w:keepLines w:val="0"/>
              <w:widowControl/>
              <w:suppressLineNumbers w:val="0"/>
              <w:jc w:val="center"/>
              <w:textAlignment w:val="center"/>
              <w:rPr>
                <w:rFonts w:ascii="黑体" w:hAnsi="黑体" w:eastAsia="黑体" w:cs="宋体"/>
                <w:b/>
                <w:kern w:val="0"/>
                <w:szCs w:val="21"/>
              </w:rPr>
            </w:pPr>
            <w:r>
              <w:rPr>
                <w:rFonts w:hint="eastAsia" w:ascii="宋体" w:hAnsi="宋体" w:eastAsia="宋体" w:cs="宋体"/>
                <w:i w:val="0"/>
                <w:color w:val="000000"/>
                <w:kern w:val="0"/>
                <w:sz w:val="20"/>
                <w:szCs w:val="20"/>
                <w:u w:val="none"/>
                <w:lang w:val="en-US" w:eastAsia="zh-CN" w:bidi="ar"/>
              </w:rPr>
              <w:t>医学学士</w:t>
            </w:r>
          </w:p>
        </w:tc>
        <w:tc>
          <w:tcPr>
            <w:tcW w:w="4980" w:type="dxa"/>
            <w:vAlign w:val="center"/>
          </w:tcPr>
          <w:p>
            <w:pPr>
              <w:keepNext w:val="0"/>
              <w:keepLines w:val="0"/>
              <w:widowControl/>
              <w:suppressLineNumbers w:val="0"/>
              <w:jc w:val="left"/>
              <w:textAlignment w:val="center"/>
              <w:rPr>
                <w:rFonts w:ascii="黑体" w:hAnsi="黑体" w:eastAsia="黑体" w:cs="宋体"/>
                <w:b/>
                <w:kern w:val="0"/>
                <w:szCs w:val="21"/>
              </w:rPr>
            </w:pPr>
            <w:r>
              <w:rPr>
                <w:rFonts w:hint="eastAsia" w:ascii="宋体" w:hAnsi="宋体" w:eastAsia="宋体" w:cs="宋体"/>
                <w:i w:val="0"/>
                <w:color w:val="000000"/>
                <w:kern w:val="0"/>
                <w:sz w:val="20"/>
                <w:szCs w:val="20"/>
                <w:u w:val="none"/>
                <w:lang w:val="en-US" w:eastAsia="zh-CN" w:bidi="ar"/>
              </w:rPr>
              <w:t>本科：临床医学（100201K）、医学影像（100203TK）</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研究生及以上：影像医学与核医学（100207）</w:t>
            </w:r>
          </w:p>
        </w:tc>
        <w:tc>
          <w:tcPr>
            <w:tcW w:w="4050" w:type="dxa"/>
            <w:vAlign w:val="center"/>
          </w:tcPr>
          <w:p>
            <w:pPr>
              <w:keepNext w:val="0"/>
              <w:keepLines w:val="0"/>
              <w:widowControl/>
              <w:suppressLineNumbers w:val="0"/>
              <w:jc w:val="left"/>
              <w:textAlignment w:val="center"/>
              <w:rPr>
                <w:rFonts w:ascii="宋体" w:hAnsi="宋体" w:cs="宋体"/>
                <w:b/>
                <w:bCs/>
                <w:kern w:val="0"/>
                <w:sz w:val="20"/>
                <w:szCs w:val="20"/>
              </w:rPr>
            </w:pPr>
            <w:r>
              <w:rPr>
                <w:rFonts w:hint="eastAsia" w:ascii="宋体" w:hAnsi="宋体" w:eastAsia="宋体" w:cs="宋体"/>
                <w:i w:val="0"/>
                <w:color w:val="000000"/>
                <w:kern w:val="0"/>
                <w:sz w:val="20"/>
                <w:szCs w:val="20"/>
                <w:u w:val="none"/>
                <w:lang w:val="en-US" w:eastAsia="zh-CN" w:bidi="ar"/>
              </w:rPr>
              <w:t>全日制普通本科学历及以上，内地大学英语四级425分以上或境外具备同等英语水平。</w:t>
            </w:r>
          </w:p>
        </w:tc>
        <w:tc>
          <w:tcPr>
            <w:tcW w:w="795" w:type="dxa"/>
            <w:vAlign w:val="center"/>
          </w:tcPr>
          <w:p>
            <w:pPr>
              <w:keepNext w:val="0"/>
              <w:keepLines w:val="0"/>
              <w:widowControl/>
              <w:suppressLineNumbers w:val="0"/>
              <w:jc w:val="center"/>
              <w:textAlignment w:val="center"/>
              <w:rPr>
                <w:rFonts w:ascii="宋体" w:hAnsi="宋体" w:cs="宋体"/>
                <w:b/>
                <w:bCs/>
                <w:kern w:val="0"/>
                <w:sz w:val="20"/>
                <w:szCs w:val="20"/>
              </w:rPr>
            </w:pPr>
            <w:r>
              <w:rPr>
                <w:rFonts w:hint="eastAsia" w:ascii="宋体" w:hAnsi="宋体" w:eastAsia="宋体" w:cs="宋体"/>
                <w:i w:val="0"/>
                <w:color w:val="000000"/>
                <w:kern w:val="0"/>
                <w:sz w:val="20"/>
                <w:szCs w:val="20"/>
                <w:u w:val="none"/>
                <w:lang w:val="en-US" w:eastAsia="zh-CN" w:bidi="ar"/>
              </w:rPr>
              <w:t>11</w:t>
            </w:r>
          </w:p>
        </w:tc>
        <w:tc>
          <w:tcPr>
            <w:tcW w:w="810" w:type="dxa"/>
            <w:vAlign w:val="center"/>
          </w:tcPr>
          <w:p>
            <w:pPr>
              <w:widowControl/>
              <w:jc w:val="left"/>
              <w:rPr>
                <w:rFonts w:ascii="宋体" w:hAnsi="宋体"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705" w:type="dxa"/>
            <w:vAlign w:val="center"/>
          </w:tcPr>
          <w:p>
            <w:pPr>
              <w:widowControl/>
              <w:jc w:val="center"/>
              <w:textAlignment w:val="center"/>
              <w:rPr>
                <w:rFonts w:ascii="黑体" w:hAnsi="黑体" w:eastAsia="黑体" w:cs="宋体"/>
                <w:bCs/>
                <w:kern w:val="0"/>
                <w:szCs w:val="21"/>
              </w:rPr>
            </w:pPr>
            <w:r>
              <w:rPr>
                <w:rFonts w:hint="eastAsia" w:ascii="宋体" w:hAnsi="宋体" w:eastAsia="宋体" w:cs="宋体"/>
                <w:color w:val="000000"/>
                <w:kern w:val="0"/>
                <w:sz w:val="20"/>
                <w:szCs w:val="20"/>
              </w:rPr>
              <w:t>16</w:t>
            </w:r>
          </w:p>
        </w:tc>
        <w:tc>
          <w:tcPr>
            <w:tcW w:w="705" w:type="dxa"/>
            <w:vAlign w:val="center"/>
          </w:tcPr>
          <w:p>
            <w:pPr>
              <w:keepNext w:val="0"/>
              <w:keepLines w:val="0"/>
              <w:widowControl/>
              <w:suppressLineNumbers w:val="0"/>
              <w:jc w:val="center"/>
              <w:textAlignment w:val="center"/>
              <w:rPr>
                <w:rFonts w:ascii="黑体" w:hAnsi="黑体" w:eastAsia="黑体" w:cs="宋体"/>
                <w:bCs/>
                <w:kern w:val="0"/>
                <w:szCs w:val="21"/>
              </w:rPr>
            </w:pPr>
            <w:r>
              <w:rPr>
                <w:rFonts w:hint="eastAsia" w:ascii="宋体" w:hAnsi="宋体" w:eastAsia="宋体" w:cs="宋体"/>
                <w:i w:val="0"/>
                <w:color w:val="000000"/>
                <w:kern w:val="0"/>
                <w:sz w:val="20"/>
                <w:szCs w:val="20"/>
                <w:u w:val="none"/>
                <w:lang w:val="en-US" w:eastAsia="zh-CN" w:bidi="ar"/>
              </w:rPr>
              <w:t>2300</w:t>
            </w:r>
          </w:p>
        </w:tc>
        <w:tc>
          <w:tcPr>
            <w:tcW w:w="1270" w:type="dxa"/>
            <w:vAlign w:val="center"/>
          </w:tcPr>
          <w:p>
            <w:pPr>
              <w:keepNext w:val="0"/>
              <w:keepLines w:val="0"/>
              <w:widowControl/>
              <w:suppressLineNumbers w:val="0"/>
              <w:jc w:val="center"/>
              <w:textAlignment w:val="center"/>
              <w:rPr>
                <w:rFonts w:ascii="黑体" w:hAnsi="黑体" w:eastAsia="黑体" w:cs="宋体"/>
                <w:bCs/>
                <w:kern w:val="0"/>
                <w:szCs w:val="21"/>
              </w:rPr>
            </w:pPr>
            <w:r>
              <w:rPr>
                <w:rFonts w:hint="eastAsia" w:ascii="宋体" w:hAnsi="宋体" w:eastAsia="宋体" w:cs="宋体"/>
                <w:i w:val="0"/>
                <w:color w:val="000000"/>
                <w:kern w:val="0"/>
                <w:sz w:val="20"/>
                <w:szCs w:val="20"/>
                <w:u w:val="none"/>
                <w:lang w:val="en-US" w:eastAsia="zh-CN" w:bidi="ar"/>
              </w:rPr>
              <w:t>放射科</w:t>
            </w:r>
          </w:p>
        </w:tc>
        <w:tc>
          <w:tcPr>
            <w:tcW w:w="1155" w:type="dxa"/>
            <w:vAlign w:val="center"/>
          </w:tcPr>
          <w:p>
            <w:pPr>
              <w:keepNext w:val="0"/>
              <w:keepLines w:val="0"/>
              <w:widowControl/>
              <w:suppressLineNumbers w:val="0"/>
              <w:jc w:val="center"/>
              <w:textAlignment w:val="center"/>
              <w:rPr>
                <w:rFonts w:ascii="黑体" w:hAnsi="黑体" w:eastAsia="黑体" w:cs="宋体"/>
                <w:b/>
                <w:kern w:val="0"/>
                <w:szCs w:val="21"/>
              </w:rPr>
            </w:pPr>
            <w:r>
              <w:rPr>
                <w:rFonts w:hint="eastAsia" w:ascii="宋体" w:hAnsi="宋体" w:eastAsia="宋体" w:cs="宋体"/>
                <w:i w:val="0"/>
                <w:color w:val="000000"/>
                <w:kern w:val="0"/>
                <w:sz w:val="20"/>
                <w:szCs w:val="20"/>
                <w:u w:val="none"/>
                <w:lang w:val="en-US" w:eastAsia="zh-CN" w:bidi="ar"/>
              </w:rPr>
              <w:t>大学本科</w:t>
            </w:r>
          </w:p>
        </w:tc>
        <w:tc>
          <w:tcPr>
            <w:tcW w:w="1095" w:type="dxa"/>
            <w:vAlign w:val="center"/>
          </w:tcPr>
          <w:p>
            <w:pPr>
              <w:keepNext w:val="0"/>
              <w:keepLines w:val="0"/>
              <w:widowControl/>
              <w:suppressLineNumbers w:val="0"/>
              <w:jc w:val="center"/>
              <w:textAlignment w:val="center"/>
              <w:rPr>
                <w:rFonts w:ascii="黑体" w:hAnsi="黑体" w:eastAsia="黑体" w:cs="宋体"/>
                <w:b/>
                <w:kern w:val="0"/>
                <w:szCs w:val="21"/>
              </w:rPr>
            </w:pPr>
            <w:r>
              <w:rPr>
                <w:rFonts w:hint="eastAsia" w:ascii="宋体" w:hAnsi="宋体" w:eastAsia="宋体" w:cs="宋体"/>
                <w:i w:val="0"/>
                <w:color w:val="000000"/>
                <w:kern w:val="0"/>
                <w:sz w:val="20"/>
                <w:szCs w:val="20"/>
                <w:u w:val="none"/>
                <w:lang w:val="en-US" w:eastAsia="zh-CN" w:bidi="ar"/>
              </w:rPr>
              <w:t>医学学士</w:t>
            </w:r>
          </w:p>
        </w:tc>
        <w:tc>
          <w:tcPr>
            <w:tcW w:w="4980" w:type="dxa"/>
            <w:vAlign w:val="center"/>
          </w:tcPr>
          <w:p>
            <w:pPr>
              <w:keepNext w:val="0"/>
              <w:keepLines w:val="0"/>
              <w:widowControl/>
              <w:suppressLineNumbers w:val="0"/>
              <w:jc w:val="left"/>
              <w:textAlignment w:val="center"/>
              <w:rPr>
                <w:rFonts w:ascii="黑体" w:hAnsi="黑体" w:eastAsia="黑体" w:cs="宋体"/>
                <w:b/>
                <w:kern w:val="0"/>
                <w:szCs w:val="21"/>
              </w:rPr>
            </w:pPr>
            <w:r>
              <w:rPr>
                <w:rFonts w:hint="eastAsia" w:ascii="宋体" w:hAnsi="宋体" w:eastAsia="宋体" w:cs="宋体"/>
                <w:i w:val="0"/>
                <w:color w:val="000000"/>
                <w:kern w:val="0"/>
                <w:sz w:val="20"/>
                <w:szCs w:val="20"/>
                <w:u w:val="none"/>
                <w:lang w:val="en-US" w:eastAsia="zh-CN" w:bidi="ar"/>
              </w:rPr>
              <w:t>本科：临床医学（100201K）、医学影像（100203TK）、放射医学（100206TK）</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研究生及以上：放射医学（100106）、影像医学与核医学（100207）</w:t>
            </w:r>
            <w:bookmarkStart w:id="0" w:name="_GoBack"/>
            <w:bookmarkEnd w:id="0"/>
          </w:p>
        </w:tc>
        <w:tc>
          <w:tcPr>
            <w:tcW w:w="4050" w:type="dxa"/>
            <w:vAlign w:val="center"/>
          </w:tcPr>
          <w:p>
            <w:pPr>
              <w:keepNext w:val="0"/>
              <w:keepLines w:val="0"/>
              <w:widowControl/>
              <w:suppressLineNumbers w:val="0"/>
              <w:jc w:val="left"/>
              <w:textAlignment w:val="center"/>
              <w:rPr>
                <w:rFonts w:ascii="宋体" w:hAnsi="宋体" w:cs="宋体"/>
                <w:b/>
                <w:bCs/>
                <w:kern w:val="0"/>
                <w:sz w:val="20"/>
                <w:szCs w:val="20"/>
              </w:rPr>
            </w:pPr>
            <w:r>
              <w:rPr>
                <w:rFonts w:hint="eastAsia" w:ascii="宋体" w:hAnsi="宋体" w:eastAsia="宋体" w:cs="宋体"/>
                <w:i w:val="0"/>
                <w:color w:val="000000"/>
                <w:kern w:val="0"/>
                <w:sz w:val="20"/>
                <w:szCs w:val="20"/>
                <w:u w:val="none"/>
                <w:lang w:val="en-US" w:eastAsia="zh-CN" w:bidi="ar"/>
              </w:rPr>
              <w:t>全日制普通本科学历及以上，内地大学英语四级425分以上或境外具备同等英语水平。</w:t>
            </w:r>
          </w:p>
        </w:tc>
        <w:tc>
          <w:tcPr>
            <w:tcW w:w="795" w:type="dxa"/>
            <w:vAlign w:val="center"/>
          </w:tcPr>
          <w:p>
            <w:pPr>
              <w:keepNext w:val="0"/>
              <w:keepLines w:val="0"/>
              <w:widowControl/>
              <w:suppressLineNumbers w:val="0"/>
              <w:jc w:val="center"/>
              <w:textAlignment w:val="center"/>
              <w:rPr>
                <w:rFonts w:ascii="宋体" w:hAnsi="宋体" w:cs="宋体"/>
                <w:b/>
                <w:bCs/>
                <w:kern w:val="0"/>
                <w:sz w:val="20"/>
                <w:szCs w:val="20"/>
              </w:rPr>
            </w:pPr>
            <w:r>
              <w:rPr>
                <w:rFonts w:hint="eastAsia" w:ascii="宋体" w:hAnsi="宋体" w:eastAsia="宋体" w:cs="宋体"/>
                <w:i w:val="0"/>
                <w:color w:val="000000"/>
                <w:kern w:val="0"/>
                <w:sz w:val="20"/>
                <w:szCs w:val="20"/>
                <w:u w:val="none"/>
                <w:lang w:val="en-US" w:eastAsia="zh-CN" w:bidi="ar"/>
              </w:rPr>
              <w:t>4</w:t>
            </w:r>
          </w:p>
        </w:tc>
        <w:tc>
          <w:tcPr>
            <w:tcW w:w="810" w:type="dxa"/>
            <w:vAlign w:val="center"/>
          </w:tcPr>
          <w:p>
            <w:pPr>
              <w:widowControl/>
              <w:jc w:val="left"/>
              <w:rPr>
                <w:rFonts w:ascii="宋体" w:hAnsi="宋体"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705" w:type="dxa"/>
            <w:vAlign w:val="center"/>
          </w:tcPr>
          <w:p>
            <w:pPr>
              <w:widowControl/>
              <w:jc w:val="center"/>
              <w:textAlignment w:val="center"/>
              <w:rPr>
                <w:rFonts w:ascii="黑体" w:hAnsi="黑体" w:eastAsia="黑体" w:cs="宋体"/>
                <w:bCs/>
                <w:kern w:val="0"/>
                <w:szCs w:val="21"/>
              </w:rPr>
            </w:pPr>
            <w:r>
              <w:rPr>
                <w:rFonts w:hint="eastAsia" w:ascii="宋体" w:hAnsi="宋体" w:eastAsia="宋体" w:cs="宋体"/>
                <w:color w:val="000000"/>
                <w:kern w:val="0"/>
                <w:sz w:val="20"/>
                <w:szCs w:val="20"/>
              </w:rPr>
              <w:t>17</w:t>
            </w:r>
          </w:p>
        </w:tc>
        <w:tc>
          <w:tcPr>
            <w:tcW w:w="705" w:type="dxa"/>
            <w:vAlign w:val="center"/>
          </w:tcPr>
          <w:p>
            <w:pPr>
              <w:keepNext w:val="0"/>
              <w:keepLines w:val="0"/>
              <w:widowControl/>
              <w:suppressLineNumbers w:val="0"/>
              <w:jc w:val="center"/>
              <w:textAlignment w:val="center"/>
              <w:rPr>
                <w:rFonts w:ascii="黑体" w:hAnsi="黑体" w:eastAsia="黑体" w:cs="宋体"/>
                <w:bCs/>
                <w:kern w:val="0"/>
                <w:szCs w:val="21"/>
              </w:rPr>
            </w:pPr>
            <w:r>
              <w:rPr>
                <w:rFonts w:hint="eastAsia" w:ascii="宋体" w:hAnsi="宋体" w:eastAsia="宋体" w:cs="宋体"/>
                <w:i w:val="0"/>
                <w:color w:val="000000"/>
                <w:kern w:val="0"/>
                <w:sz w:val="20"/>
                <w:szCs w:val="20"/>
                <w:u w:val="none"/>
                <w:lang w:val="en-US" w:eastAsia="zh-CN" w:bidi="ar"/>
              </w:rPr>
              <w:t>2500</w:t>
            </w:r>
          </w:p>
        </w:tc>
        <w:tc>
          <w:tcPr>
            <w:tcW w:w="1270" w:type="dxa"/>
            <w:vAlign w:val="center"/>
          </w:tcPr>
          <w:p>
            <w:pPr>
              <w:keepNext w:val="0"/>
              <w:keepLines w:val="0"/>
              <w:widowControl/>
              <w:suppressLineNumbers w:val="0"/>
              <w:jc w:val="center"/>
              <w:textAlignment w:val="center"/>
              <w:rPr>
                <w:rFonts w:ascii="黑体" w:hAnsi="黑体" w:eastAsia="黑体" w:cs="宋体"/>
                <w:bCs/>
                <w:kern w:val="0"/>
                <w:szCs w:val="21"/>
              </w:rPr>
            </w:pPr>
            <w:r>
              <w:rPr>
                <w:rFonts w:hint="eastAsia" w:ascii="宋体" w:hAnsi="宋体" w:eastAsia="宋体" w:cs="宋体"/>
                <w:i w:val="0"/>
                <w:color w:val="000000"/>
                <w:kern w:val="0"/>
                <w:sz w:val="20"/>
                <w:szCs w:val="20"/>
                <w:u w:val="none"/>
                <w:lang w:val="en-US" w:eastAsia="zh-CN" w:bidi="ar"/>
              </w:rPr>
              <w:t>放射肿瘤科</w:t>
            </w:r>
          </w:p>
        </w:tc>
        <w:tc>
          <w:tcPr>
            <w:tcW w:w="1155" w:type="dxa"/>
            <w:vAlign w:val="center"/>
          </w:tcPr>
          <w:p>
            <w:pPr>
              <w:keepNext w:val="0"/>
              <w:keepLines w:val="0"/>
              <w:widowControl/>
              <w:suppressLineNumbers w:val="0"/>
              <w:jc w:val="center"/>
              <w:textAlignment w:val="center"/>
              <w:rPr>
                <w:rFonts w:ascii="黑体" w:hAnsi="黑体" w:eastAsia="黑体" w:cs="宋体"/>
                <w:b/>
                <w:kern w:val="0"/>
                <w:szCs w:val="21"/>
              </w:rPr>
            </w:pPr>
            <w:r>
              <w:rPr>
                <w:rFonts w:hint="eastAsia" w:ascii="宋体" w:hAnsi="宋体" w:eastAsia="宋体" w:cs="宋体"/>
                <w:i w:val="0"/>
                <w:color w:val="000000"/>
                <w:kern w:val="0"/>
                <w:sz w:val="20"/>
                <w:szCs w:val="20"/>
                <w:u w:val="none"/>
                <w:lang w:val="en-US" w:eastAsia="zh-CN" w:bidi="ar"/>
              </w:rPr>
              <w:t>大学本科</w:t>
            </w:r>
          </w:p>
        </w:tc>
        <w:tc>
          <w:tcPr>
            <w:tcW w:w="1095" w:type="dxa"/>
            <w:vAlign w:val="center"/>
          </w:tcPr>
          <w:p>
            <w:pPr>
              <w:keepNext w:val="0"/>
              <w:keepLines w:val="0"/>
              <w:widowControl/>
              <w:suppressLineNumbers w:val="0"/>
              <w:jc w:val="center"/>
              <w:textAlignment w:val="center"/>
              <w:rPr>
                <w:rFonts w:ascii="黑体" w:hAnsi="黑体" w:eastAsia="黑体" w:cs="宋体"/>
                <w:b/>
                <w:kern w:val="0"/>
                <w:szCs w:val="21"/>
              </w:rPr>
            </w:pPr>
            <w:r>
              <w:rPr>
                <w:rFonts w:hint="eastAsia" w:ascii="宋体" w:hAnsi="宋体" w:eastAsia="宋体" w:cs="宋体"/>
                <w:i w:val="0"/>
                <w:color w:val="000000"/>
                <w:kern w:val="0"/>
                <w:sz w:val="20"/>
                <w:szCs w:val="20"/>
                <w:u w:val="none"/>
                <w:lang w:val="en-US" w:eastAsia="zh-CN" w:bidi="ar"/>
              </w:rPr>
              <w:t>医学学士</w:t>
            </w:r>
          </w:p>
        </w:tc>
        <w:tc>
          <w:tcPr>
            <w:tcW w:w="4980" w:type="dxa"/>
            <w:vAlign w:val="center"/>
          </w:tcPr>
          <w:p>
            <w:pPr>
              <w:keepNext w:val="0"/>
              <w:keepLines w:val="0"/>
              <w:widowControl/>
              <w:suppressLineNumbers w:val="0"/>
              <w:jc w:val="left"/>
              <w:textAlignment w:val="center"/>
              <w:rPr>
                <w:rFonts w:ascii="黑体" w:hAnsi="黑体" w:eastAsia="黑体" w:cs="宋体"/>
                <w:b/>
                <w:kern w:val="0"/>
                <w:szCs w:val="21"/>
              </w:rPr>
            </w:pPr>
            <w:r>
              <w:rPr>
                <w:rFonts w:hint="eastAsia" w:ascii="宋体" w:hAnsi="宋体" w:eastAsia="宋体" w:cs="宋体"/>
                <w:i w:val="0"/>
                <w:color w:val="000000"/>
                <w:kern w:val="0"/>
                <w:sz w:val="20"/>
                <w:szCs w:val="20"/>
                <w:u w:val="none"/>
                <w:lang w:val="en-US" w:eastAsia="zh-CN" w:bidi="ar"/>
              </w:rPr>
              <w:t>本科：临床医学（100201K）</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研究生及以上：内科学（100201）、肿瘤学（100214）</w:t>
            </w:r>
          </w:p>
        </w:tc>
        <w:tc>
          <w:tcPr>
            <w:tcW w:w="4050" w:type="dxa"/>
            <w:vAlign w:val="center"/>
          </w:tcPr>
          <w:p>
            <w:pPr>
              <w:keepNext w:val="0"/>
              <w:keepLines w:val="0"/>
              <w:widowControl/>
              <w:suppressLineNumbers w:val="0"/>
              <w:jc w:val="left"/>
              <w:textAlignment w:val="center"/>
              <w:rPr>
                <w:rFonts w:ascii="宋体" w:hAnsi="宋体" w:cs="宋体"/>
                <w:b/>
                <w:bCs/>
                <w:kern w:val="0"/>
                <w:sz w:val="20"/>
                <w:szCs w:val="20"/>
              </w:rPr>
            </w:pPr>
            <w:r>
              <w:rPr>
                <w:rFonts w:hint="eastAsia" w:ascii="宋体" w:hAnsi="宋体" w:eastAsia="宋体" w:cs="宋体"/>
                <w:i w:val="0"/>
                <w:color w:val="000000"/>
                <w:kern w:val="0"/>
                <w:sz w:val="20"/>
                <w:szCs w:val="20"/>
                <w:u w:val="none"/>
                <w:lang w:val="en-US" w:eastAsia="zh-CN" w:bidi="ar"/>
              </w:rPr>
              <w:t>全日制普通本科学历及以上，（研究生为内科学和肿瘤学专业），内地大学英语四级425分以上或境外具备同等英语水平。</w:t>
            </w:r>
          </w:p>
        </w:tc>
        <w:tc>
          <w:tcPr>
            <w:tcW w:w="795" w:type="dxa"/>
            <w:vAlign w:val="center"/>
          </w:tcPr>
          <w:p>
            <w:pPr>
              <w:keepNext w:val="0"/>
              <w:keepLines w:val="0"/>
              <w:widowControl/>
              <w:suppressLineNumbers w:val="0"/>
              <w:jc w:val="center"/>
              <w:textAlignment w:val="center"/>
              <w:rPr>
                <w:rFonts w:ascii="宋体" w:hAnsi="宋体" w:cs="宋体"/>
                <w:b/>
                <w:bCs/>
                <w:kern w:val="0"/>
                <w:sz w:val="20"/>
                <w:szCs w:val="20"/>
              </w:rPr>
            </w:pPr>
            <w:r>
              <w:rPr>
                <w:rFonts w:hint="eastAsia" w:ascii="宋体" w:hAnsi="宋体" w:eastAsia="宋体" w:cs="宋体"/>
                <w:i w:val="0"/>
                <w:color w:val="000000"/>
                <w:kern w:val="0"/>
                <w:sz w:val="20"/>
                <w:szCs w:val="20"/>
                <w:u w:val="none"/>
                <w:lang w:val="en-US" w:eastAsia="zh-CN" w:bidi="ar"/>
              </w:rPr>
              <w:t>8</w:t>
            </w:r>
          </w:p>
        </w:tc>
        <w:tc>
          <w:tcPr>
            <w:tcW w:w="810" w:type="dxa"/>
            <w:vAlign w:val="center"/>
          </w:tcPr>
          <w:p>
            <w:pPr>
              <w:widowControl/>
              <w:jc w:val="left"/>
              <w:rPr>
                <w:rFonts w:ascii="宋体" w:hAnsi="宋体"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18</w:t>
            </w:r>
          </w:p>
        </w:tc>
        <w:tc>
          <w:tcPr>
            <w:tcW w:w="705" w:type="dxa"/>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2800</w:t>
            </w:r>
          </w:p>
        </w:tc>
        <w:tc>
          <w:tcPr>
            <w:tcW w:w="1270" w:type="dxa"/>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口腔全科</w:t>
            </w:r>
          </w:p>
        </w:tc>
        <w:tc>
          <w:tcPr>
            <w:tcW w:w="1155" w:type="dxa"/>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大学本科</w:t>
            </w:r>
          </w:p>
        </w:tc>
        <w:tc>
          <w:tcPr>
            <w:tcW w:w="1095" w:type="dxa"/>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医学学士</w:t>
            </w:r>
          </w:p>
        </w:tc>
        <w:tc>
          <w:tcPr>
            <w:tcW w:w="4980" w:type="dxa"/>
            <w:vAlign w:val="center"/>
          </w:tcPr>
          <w:p>
            <w:pPr>
              <w:keepNext w:val="0"/>
              <w:keepLines w:val="0"/>
              <w:widowControl/>
              <w:suppressLineNumbers w:val="0"/>
              <w:jc w:val="lef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本科：口腔医学（100301K）</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研究生及以上：口腔临床医学（100302）</w:t>
            </w:r>
          </w:p>
        </w:tc>
        <w:tc>
          <w:tcPr>
            <w:tcW w:w="4050" w:type="dxa"/>
            <w:vAlign w:val="center"/>
          </w:tcPr>
          <w:p>
            <w:pPr>
              <w:keepNext w:val="0"/>
              <w:keepLines w:val="0"/>
              <w:widowControl/>
              <w:suppressLineNumbers w:val="0"/>
              <w:jc w:val="lef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全日制普通本科学历及以上，内地大学英语四级425分以上或境外具备同等英语水平。</w:t>
            </w:r>
          </w:p>
        </w:tc>
        <w:tc>
          <w:tcPr>
            <w:tcW w:w="795" w:type="dxa"/>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2</w:t>
            </w:r>
          </w:p>
        </w:tc>
        <w:tc>
          <w:tcPr>
            <w:tcW w:w="810" w:type="dxa"/>
            <w:vAlign w:val="center"/>
          </w:tcPr>
          <w:p>
            <w:pPr>
              <w:widowControl/>
              <w:jc w:val="left"/>
              <w:rPr>
                <w:rFonts w:ascii="宋体" w:hAnsi="宋体" w:cs="宋体"/>
                <w:b/>
                <w:bCs/>
                <w:kern w:val="0"/>
                <w:sz w:val="20"/>
                <w:szCs w:val="20"/>
              </w:rPr>
            </w:pPr>
          </w:p>
        </w:tc>
      </w:tr>
    </w:tbl>
    <w:p>
      <w:pPr>
        <w:widowControl/>
        <w:rPr>
          <w:sz w:val="24"/>
          <w:szCs w:val="24"/>
        </w:rPr>
      </w:pPr>
    </w:p>
    <w:sectPr>
      <w:pgSz w:w="16838" w:h="11906" w:orient="landscape"/>
      <w:pgMar w:top="1349" w:right="952" w:bottom="1349" w:left="952" w:header="851" w:footer="992" w:gutter="0"/>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
    <w:panose1 w:val="02010609060101010101"/>
    <w:charset w:val="00"/>
    <w:family w:val="roman"/>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hint="eastAsia"/>
      </w:rPr>
      <w:t>香港大学深圳医院住院医师</w:t>
    </w:r>
    <w:r>
      <w:t>规范化培训</w:t>
    </w:r>
    <w:r>
      <w:rPr>
        <w:rFonts w:hint="eastAsia"/>
      </w:rPr>
      <w:t>招生简章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1ED7FE"/>
    <w:multiLevelType w:val="singleLevel"/>
    <w:tmpl w:val="FD1ED7F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B01D2"/>
    <w:rsid w:val="0000141A"/>
    <w:rsid w:val="00005A62"/>
    <w:rsid w:val="00006AA7"/>
    <w:rsid w:val="000114B5"/>
    <w:rsid w:val="00015F98"/>
    <w:rsid w:val="000203F0"/>
    <w:rsid w:val="00023113"/>
    <w:rsid w:val="000258C8"/>
    <w:rsid w:val="000263B4"/>
    <w:rsid w:val="000348FE"/>
    <w:rsid w:val="00035EC7"/>
    <w:rsid w:val="00036BBB"/>
    <w:rsid w:val="000412B8"/>
    <w:rsid w:val="0004664F"/>
    <w:rsid w:val="00050FEC"/>
    <w:rsid w:val="00055F4F"/>
    <w:rsid w:val="00060324"/>
    <w:rsid w:val="00061E09"/>
    <w:rsid w:val="00062844"/>
    <w:rsid w:val="00063A6E"/>
    <w:rsid w:val="00063D79"/>
    <w:rsid w:val="000838D7"/>
    <w:rsid w:val="00090806"/>
    <w:rsid w:val="000A188C"/>
    <w:rsid w:val="000A6499"/>
    <w:rsid w:val="000B6406"/>
    <w:rsid w:val="000B7780"/>
    <w:rsid w:val="000C1127"/>
    <w:rsid w:val="000C20E6"/>
    <w:rsid w:val="000C2F43"/>
    <w:rsid w:val="000C3975"/>
    <w:rsid w:val="000C679C"/>
    <w:rsid w:val="000D0173"/>
    <w:rsid w:val="000D4BAD"/>
    <w:rsid w:val="000E12D2"/>
    <w:rsid w:val="000E32BF"/>
    <w:rsid w:val="000F0EA1"/>
    <w:rsid w:val="000F3D9E"/>
    <w:rsid w:val="000F3FBB"/>
    <w:rsid w:val="000F6832"/>
    <w:rsid w:val="000F79CE"/>
    <w:rsid w:val="001051FA"/>
    <w:rsid w:val="001075FF"/>
    <w:rsid w:val="00107A6C"/>
    <w:rsid w:val="00113AA6"/>
    <w:rsid w:val="00120F9B"/>
    <w:rsid w:val="00123697"/>
    <w:rsid w:val="0012628C"/>
    <w:rsid w:val="00130953"/>
    <w:rsid w:val="00131676"/>
    <w:rsid w:val="00136043"/>
    <w:rsid w:val="00137229"/>
    <w:rsid w:val="001529FD"/>
    <w:rsid w:val="00164F6C"/>
    <w:rsid w:val="00164FE1"/>
    <w:rsid w:val="001674CB"/>
    <w:rsid w:val="00174082"/>
    <w:rsid w:val="00174FDF"/>
    <w:rsid w:val="00181B0C"/>
    <w:rsid w:val="00182C09"/>
    <w:rsid w:val="0019697B"/>
    <w:rsid w:val="001A0639"/>
    <w:rsid w:val="001A0AE2"/>
    <w:rsid w:val="001A2751"/>
    <w:rsid w:val="001A474B"/>
    <w:rsid w:val="001B16DE"/>
    <w:rsid w:val="001B42B0"/>
    <w:rsid w:val="001B4F16"/>
    <w:rsid w:val="001B64BC"/>
    <w:rsid w:val="001C0F9B"/>
    <w:rsid w:val="001C35FE"/>
    <w:rsid w:val="001C3ECF"/>
    <w:rsid w:val="001C7E88"/>
    <w:rsid w:val="001D0C88"/>
    <w:rsid w:val="001D43A9"/>
    <w:rsid w:val="001D4DC7"/>
    <w:rsid w:val="001D50E4"/>
    <w:rsid w:val="001D7897"/>
    <w:rsid w:val="001E2EC3"/>
    <w:rsid w:val="001E65C9"/>
    <w:rsid w:val="001F1253"/>
    <w:rsid w:val="001F384D"/>
    <w:rsid w:val="001F75AC"/>
    <w:rsid w:val="001F784D"/>
    <w:rsid w:val="00202C7D"/>
    <w:rsid w:val="002110A8"/>
    <w:rsid w:val="00212B35"/>
    <w:rsid w:val="00217C8D"/>
    <w:rsid w:val="00221D7F"/>
    <w:rsid w:val="002232AC"/>
    <w:rsid w:val="0022439F"/>
    <w:rsid w:val="002323E8"/>
    <w:rsid w:val="0023277A"/>
    <w:rsid w:val="00233B1C"/>
    <w:rsid w:val="002373B6"/>
    <w:rsid w:val="002417D0"/>
    <w:rsid w:val="00243EA7"/>
    <w:rsid w:val="00246407"/>
    <w:rsid w:val="00250429"/>
    <w:rsid w:val="00251854"/>
    <w:rsid w:val="00252614"/>
    <w:rsid w:val="00255432"/>
    <w:rsid w:val="00255465"/>
    <w:rsid w:val="002570D3"/>
    <w:rsid w:val="00257322"/>
    <w:rsid w:val="00257755"/>
    <w:rsid w:val="00262F80"/>
    <w:rsid w:val="002702D3"/>
    <w:rsid w:val="0027075B"/>
    <w:rsid w:val="00270E4B"/>
    <w:rsid w:val="00274646"/>
    <w:rsid w:val="00275609"/>
    <w:rsid w:val="00276266"/>
    <w:rsid w:val="0027693D"/>
    <w:rsid w:val="00276F65"/>
    <w:rsid w:val="00281EA4"/>
    <w:rsid w:val="00287F77"/>
    <w:rsid w:val="002930A6"/>
    <w:rsid w:val="00295D7F"/>
    <w:rsid w:val="00296D73"/>
    <w:rsid w:val="002A6D06"/>
    <w:rsid w:val="002A770B"/>
    <w:rsid w:val="002C2DCD"/>
    <w:rsid w:val="002C3C87"/>
    <w:rsid w:val="002C7D77"/>
    <w:rsid w:val="002E0722"/>
    <w:rsid w:val="002E2B4B"/>
    <w:rsid w:val="002E3E41"/>
    <w:rsid w:val="002E438F"/>
    <w:rsid w:val="002E5189"/>
    <w:rsid w:val="002F132C"/>
    <w:rsid w:val="002F28C1"/>
    <w:rsid w:val="002F34A3"/>
    <w:rsid w:val="002F6E23"/>
    <w:rsid w:val="00303F1B"/>
    <w:rsid w:val="003054BA"/>
    <w:rsid w:val="00310C69"/>
    <w:rsid w:val="00313283"/>
    <w:rsid w:val="0031337B"/>
    <w:rsid w:val="0031525E"/>
    <w:rsid w:val="003170DE"/>
    <w:rsid w:val="003277E0"/>
    <w:rsid w:val="003312AF"/>
    <w:rsid w:val="00332892"/>
    <w:rsid w:val="0033446F"/>
    <w:rsid w:val="00336595"/>
    <w:rsid w:val="003463F9"/>
    <w:rsid w:val="00346768"/>
    <w:rsid w:val="00347837"/>
    <w:rsid w:val="003534C4"/>
    <w:rsid w:val="00353E78"/>
    <w:rsid w:val="00361AAF"/>
    <w:rsid w:val="003626E9"/>
    <w:rsid w:val="003668D6"/>
    <w:rsid w:val="00371997"/>
    <w:rsid w:val="00372C31"/>
    <w:rsid w:val="00372D29"/>
    <w:rsid w:val="00377E01"/>
    <w:rsid w:val="00385620"/>
    <w:rsid w:val="0039494D"/>
    <w:rsid w:val="00395817"/>
    <w:rsid w:val="003972DD"/>
    <w:rsid w:val="003A4D9C"/>
    <w:rsid w:val="003A70CA"/>
    <w:rsid w:val="003B38EE"/>
    <w:rsid w:val="003B47D3"/>
    <w:rsid w:val="003B709A"/>
    <w:rsid w:val="003B7778"/>
    <w:rsid w:val="003B7D67"/>
    <w:rsid w:val="003C7CC8"/>
    <w:rsid w:val="003D100C"/>
    <w:rsid w:val="003D5A1F"/>
    <w:rsid w:val="003E02E0"/>
    <w:rsid w:val="003E153C"/>
    <w:rsid w:val="003E5F08"/>
    <w:rsid w:val="003E619E"/>
    <w:rsid w:val="003E7BB0"/>
    <w:rsid w:val="003F179E"/>
    <w:rsid w:val="003F4A58"/>
    <w:rsid w:val="003F5F99"/>
    <w:rsid w:val="0040042B"/>
    <w:rsid w:val="00410D05"/>
    <w:rsid w:val="00411C08"/>
    <w:rsid w:val="00412D10"/>
    <w:rsid w:val="004148B4"/>
    <w:rsid w:val="004173AC"/>
    <w:rsid w:val="004224B6"/>
    <w:rsid w:val="00422652"/>
    <w:rsid w:val="00423880"/>
    <w:rsid w:val="00423A04"/>
    <w:rsid w:val="00424169"/>
    <w:rsid w:val="004243BE"/>
    <w:rsid w:val="004277E2"/>
    <w:rsid w:val="004321B0"/>
    <w:rsid w:val="0043767C"/>
    <w:rsid w:val="00442908"/>
    <w:rsid w:val="004537A7"/>
    <w:rsid w:val="004552FA"/>
    <w:rsid w:val="00465F74"/>
    <w:rsid w:val="004668A3"/>
    <w:rsid w:val="00475B30"/>
    <w:rsid w:val="00477F72"/>
    <w:rsid w:val="00482EF4"/>
    <w:rsid w:val="004830AD"/>
    <w:rsid w:val="004868C4"/>
    <w:rsid w:val="0049243D"/>
    <w:rsid w:val="0049410F"/>
    <w:rsid w:val="00496487"/>
    <w:rsid w:val="004A019A"/>
    <w:rsid w:val="004A5C15"/>
    <w:rsid w:val="004C33AA"/>
    <w:rsid w:val="004C3534"/>
    <w:rsid w:val="004C3BB9"/>
    <w:rsid w:val="004D01C7"/>
    <w:rsid w:val="004D0BCF"/>
    <w:rsid w:val="004D29B8"/>
    <w:rsid w:val="004D78E2"/>
    <w:rsid w:val="004E0D58"/>
    <w:rsid w:val="004F1959"/>
    <w:rsid w:val="004F1EE5"/>
    <w:rsid w:val="004F781A"/>
    <w:rsid w:val="00501F0F"/>
    <w:rsid w:val="00503618"/>
    <w:rsid w:val="0051080C"/>
    <w:rsid w:val="005108BE"/>
    <w:rsid w:val="00514D0F"/>
    <w:rsid w:val="00525BAC"/>
    <w:rsid w:val="00527B64"/>
    <w:rsid w:val="00531373"/>
    <w:rsid w:val="00537992"/>
    <w:rsid w:val="00543E3B"/>
    <w:rsid w:val="0054492E"/>
    <w:rsid w:val="0054629B"/>
    <w:rsid w:val="00546885"/>
    <w:rsid w:val="00546F93"/>
    <w:rsid w:val="00553581"/>
    <w:rsid w:val="00560AFB"/>
    <w:rsid w:val="00562877"/>
    <w:rsid w:val="00562BDC"/>
    <w:rsid w:val="00563101"/>
    <w:rsid w:val="00565598"/>
    <w:rsid w:val="005657C2"/>
    <w:rsid w:val="005813D9"/>
    <w:rsid w:val="005822EE"/>
    <w:rsid w:val="005851DC"/>
    <w:rsid w:val="005913D6"/>
    <w:rsid w:val="00597048"/>
    <w:rsid w:val="005A0884"/>
    <w:rsid w:val="005A20BD"/>
    <w:rsid w:val="005A30A3"/>
    <w:rsid w:val="005A3EC2"/>
    <w:rsid w:val="005A4B9B"/>
    <w:rsid w:val="005A545A"/>
    <w:rsid w:val="005A5A6F"/>
    <w:rsid w:val="005A6A92"/>
    <w:rsid w:val="005B1773"/>
    <w:rsid w:val="005B2156"/>
    <w:rsid w:val="005B52DB"/>
    <w:rsid w:val="005B6F57"/>
    <w:rsid w:val="005B72BB"/>
    <w:rsid w:val="005C2FC2"/>
    <w:rsid w:val="005C36F1"/>
    <w:rsid w:val="005D116C"/>
    <w:rsid w:val="005D3BC8"/>
    <w:rsid w:val="005D59D5"/>
    <w:rsid w:val="005D704A"/>
    <w:rsid w:val="005D784C"/>
    <w:rsid w:val="005D7D2A"/>
    <w:rsid w:val="005E10CE"/>
    <w:rsid w:val="005E3E0B"/>
    <w:rsid w:val="005E5EBB"/>
    <w:rsid w:val="005F29DB"/>
    <w:rsid w:val="005F2FA4"/>
    <w:rsid w:val="005F57F8"/>
    <w:rsid w:val="005F5ACC"/>
    <w:rsid w:val="005F5E91"/>
    <w:rsid w:val="00603324"/>
    <w:rsid w:val="006034EF"/>
    <w:rsid w:val="00606757"/>
    <w:rsid w:val="00613E28"/>
    <w:rsid w:val="00621B88"/>
    <w:rsid w:val="0062216B"/>
    <w:rsid w:val="00622BF4"/>
    <w:rsid w:val="00623BAC"/>
    <w:rsid w:val="006244B6"/>
    <w:rsid w:val="006246FF"/>
    <w:rsid w:val="00625473"/>
    <w:rsid w:val="006302DE"/>
    <w:rsid w:val="00630462"/>
    <w:rsid w:val="00631B6F"/>
    <w:rsid w:val="00631E96"/>
    <w:rsid w:val="00640ECA"/>
    <w:rsid w:val="006419D5"/>
    <w:rsid w:val="00643C0C"/>
    <w:rsid w:val="00644278"/>
    <w:rsid w:val="00651A8D"/>
    <w:rsid w:val="0065261C"/>
    <w:rsid w:val="00654D3D"/>
    <w:rsid w:val="00660ABE"/>
    <w:rsid w:val="00661AAD"/>
    <w:rsid w:val="00662477"/>
    <w:rsid w:val="006668C2"/>
    <w:rsid w:val="00671B80"/>
    <w:rsid w:val="00672912"/>
    <w:rsid w:val="0067664D"/>
    <w:rsid w:val="00681D8C"/>
    <w:rsid w:val="00683EF9"/>
    <w:rsid w:val="0068458C"/>
    <w:rsid w:val="00690320"/>
    <w:rsid w:val="006903D5"/>
    <w:rsid w:val="00691398"/>
    <w:rsid w:val="00693C9D"/>
    <w:rsid w:val="00694ABE"/>
    <w:rsid w:val="00697034"/>
    <w:rsid w:val="006A2510"/>
    <w:rsid w:val="006A7FB5"/>
    <w:rsid w:val="006B34CA"/>
    <w:rsid w:val="006B3712"/>
    <w:rsid w:val="006B3A5D"/>
    <w:rsid w:val="006B7448"/>
    <w:rsid w:val="006C5EC7"/>
    <w:rsid w:val="006C707D"/>
    <w:rsid w:val="006D2A69"/>
    <w:rsid w:val="006D5FD6"/>
    <w:rsid w:val="006E152A"/>
    <w:rsid w:val="006F0D25"/>
    <w:rsid w:val="006F17F4"/>
    <w:rsid w:val="006F44C2"/>
    <w:rsid w:val="006F4CA9"/>
    <w:rsid w:val="006F6935"/>
    <w:rsid w:val="006F6CD3"/>
    <w:rsid w:val="007009AB"/>
    <w:rsid w:val="007057B9"/>
    <w:rsid w:val="00715386"/>
    <w:rsid w:val="00727596"/>
    <w:rsid w:val="0074277C"/>
    <w:rsid w:val="0074788F"/>
    <w:rsid w:val="00747D0F"/>
    <w:rsid w:val="00750657"/>
    <w:rsid w:val="007525FA"/>
    <w:rsid w:val="00753CEF"/>
    <w:rsid w:val="007544BD"/>
    <w:rsid w:val="007602A0"/>
    <w:rsid w:val="00760493"/>
    <w:rsid w:val="0076531C"/>
    <w:rsid w:val="00765A42"/>
    <w:rsid w:val="00765FB9"/>
    <w:rsid w:val="007672CD"/>
    <w:rsid w:val="00770613"/>
    <w:rsid w:val="00775BFB"/>
    <w:rsid w:val="00776CDC"/>
    <w:rsid w:val="007843EA"/>
    <w:rsid w:val="00790039"/>
    <w:rsid w:val="00790898"/>
    <w:rsid w:val="0079206B"/>
    <w:rsid w:val="00794A95"/>
    <w:rsid w:val="00795BC3"/>
    <w:rsid w:val="007A2C29"/>
    <w:rsid w:val="007A3A33"/>
    <w:rsid w:val="007A68D9"/>
    <w:rsid w:val="007A6F67"/>
    <w:rsid w:val="007A745E"/>
    <w:rsid w:val="007B003B"/>
    <w:rsid w:val="007B01D2"/>
    <w:rsid w:val="007B1501"/>
    <w:rsid w:val="007B45BE"/>
    <w:rsid w:val="007B71FE"/>
    <w:rsid w:val="007C215E"/>
    <w:rsid w:val="007C301B"/>
    <w:rsid w:val="007C314D"/>
    <w:rsid w:val="007D3F0F"/>
    <w:rsid w:val="007D6FE6"/>
    <w:rsid w:val="007E470E"/>
    <w:rsid w:val="007E5A0D"/>
    <w:rsid w:val="007E635C"/>
    <w:rsid w:val="007F7710"/>
    <w:rsid w:val="00802C86"/>
    <w:rsid w:val="008031A4"/>
    <w:rsid w:val="0080737D"/>
    <w:rsid w:val="008076E0"/>
    <w:rsid w:val="00814593"/>
    <w:rsid w:val="00820BA7"/>
    <w:rsid w:val="008311C5"/>
    <w:rsid w:val="00833217"/>
    <w:rsid w:val="00843BC2"/>
    <w:rsid w:val="00846499"/>
    <w:rsid w:val="00846C51"/>
    <w:rsid w:val="008531BF"/>
    <w:rsid w:val="00853DC4"/>
    <w:rsid w:val="00863924"/>
    <w:rsid w:val="0086439F"/>
    <w:rsid w:val="00864792"/>
    <w:rsid w:val="00877EF5"/>
    <w:rsid w:val="008914AB"/>
    <w:rsid w:val="00893437"/>
    <w:rsid w:val="008966B2"/>
    <w:rsid w:val="00897593"/>
    <w:rsid w:val="00897A7B"/>
    <w:rsid w:val="008B14EC"/>
    <w:rsid w:val="008B22F5"/>
    <w:rsid w:val="008B4ECD"/>
    <w:rsid w:val="008B5917"/>
    <w:rsid w:val="008B59C7"/>
    <w:rsid w:val="008C633B"/>
    <w:rsid w:val="008C63AB"/>
    <w:rsid w:val="008D04B8"/>
    <w:rsid w:val="008D3C1A"/>
    <w:rsid w:val="008D68D9"/>
    <w:rsid w:val="008E3D62"/>
    <w:rsid w:val="008F1F92"/>
    <w:rsid w:val="008F3AC3"/>
    <w:rsid w:val="00900E68"/>
    <w:rsid w:val="009022FB"/>
    <w:rsid w:val="00906BEC"/>
    <w:rsid w:val="0092162C"/>
    <w:rsid w:val="00927C21"/>
    <w:rsid w:val="009345CD"/>
    <w:rsid w:val="00940499"/>
    <w:rsid w:val="009422F6"/>
    <w:rsid w:val="00943AC4"/>
    <w:rsid w:val="00952267"/>
    <w:rsid w:val="009527DA"/>
    <w:rsid w:val="00955D70"/>
    <w:rsid w:val="00956600"/>
    <w:rsid w:val="00956BF7"/>
    <w:rsid w:val="0095705C"/>
    <w:rsid w:val="00957A52"/>
    <w:rsid w:val="009626D4"/>
    <w:rsid w:val="0096402A"/>
    <w:rsid w:val="00967E91"/>
    <w:rsid w:val="00972DA3"/>
    <w:rsid w:val="0097710A"/>
    <w:rsid w:val="00982A80"/>
    <w:rsid w:val="00984B78"/>
    <w:rsid w:val="00991753"/>
    <w:rsid w:val="0099297D"/>
    <w:rsid w:val="00993E1C"/>
    <w:rsid w:val="00996747"/>
    <w:rsid w:val="00996B7C"/>
    <w:rsid w:val="00996D44"/>
    <w:rsid w:val="009A0B2A"/>
    <w:rsid w:val="009A411D"/>
    <w:rsid w:val="009A7F31"/>
    <w:rsid w:val="009B01F0"/>
    <w:rsid w:val="009B47AB"/>
    <w:rsid w:val="009B6348"/>
    <w:rsid w:val="009B6E40"/>
    <w:rsid w:val="009C1C6A"/>
    <w:rsid w:val="009D004D"/>
    <w:rsid w:val="009D4C1F"/>
    <w:rsid w:val="009E2A44"/>
    <w:rsid w:val="009E7D90"/>
    <w:rsid w:val="009F45C7"/>
    <w:rsid w:val="00A032A3"/>
    <w:rsid w:val="00A05A4E"/>
    <w:rsid w:val="00A06ACC"/>
    <w:rsid w:val="00A07429"/>
    <w:rsid w:val="00A07A48"/>
    <w:rsid w:val="00A13125"/>
    <w:rsid w:val="00A22C19"/>
    <w:rsid w:val="00A230AB"/>
    <w:rsid w:val="00A2469B"/>
    <w:rsid w:val="00A270FA"/>
    <w:rsid w:val="00A31739"/>
    <w:rsid w:val="00A32A20"/>
    <w:rsid w:val="00A44F73"/>
    <w:rsid w:val="00A474D5"/>
    <w:rsid w:val="00A51A07"/>
    <w:rsid w:val="00A52013"/>
    <w:rsid w:val="00A54E3A"/>
    <w:rsid w:val="00A57421"/>
    <w:rsid w:val="00A707E6"/>
    <w:rsid w:val="00A738EB"/>
    <w:rsid w:val="00A75A26"/>
    <w:rsid w:val="00A76CE8"/>
    <w:rsid w:val="00A80F15"/>
    <w:rsid w:val="00A86E10"/>
    <w:rsid w:val="00A875CB"/>
    <w:rsid w:val="00A87ACF"/>
    <w:rsid w:val="00A9273B"/>
    <w:rsid w:val="00A933C3"/>
    <w:rsid w:val="00AA3596"/>
    <w:rsid w:val="00AA7E98"/>
    <w:rsid w:val="00AB11F0"/>
    <w:rsid w:val="00AB1915"/>
    <w:rsid w:val="00AB3F47"/>
    <w:rsid w:val="00AB4624"/>
    <w:rsid w:val="00AB5753"/>
    <w:rsid w:val="00AB7D5D"/>
    <w:rsid w:val="00AC2734"/>
    <w:rsid w:val="00AC2DBB"/>
    <w:rsid w:val="00AD37E2"/>
    <w:rsid w:val="00AD5592"/>
    <w:rsid w:val="00AD6A62"/>
    <w:rsid w:val="00AE2A6E"/>
    <w:rsid w:val="00AE321F"/>
    <w:rsid w:val="00AE3258"/>
    <w:rsid w:val="00AE378D"/>
    <w:rsid w:val="00AE6F3A"/>
    <w:rsid w:val="00AE7926"/>
    <w:rsid w:val="00AE79F2"/>
    <w:rsid w:val="00AF2B81"/>
    <w:rsid w:val="00AF3CBC"/>
    <w:rsid w:val="00B05918"/>
    <w:rsid w:val="00B0758E"/>
    <w:rsid w:val="00B1540D"/>
    <w:rsid w:val="00B17538"/>
    <w:rsid w:val="00B214C6"/>
    <w:rsid w:val="00B22FC8"/>
    <w:rsid w:val="00B233A8"/>
    <w:rsid w:val="00B323E8"/>
    <w:rsid w:val="00B3306B"/>
    <w:rsid w:val="00B34BC4"/>
    <w:rsid w:val="00B40A17"/>
    <w:rsid w:val="00B42B63"/>
    <w:rsid w:val="00B47BB8"/>
    <w:rsid w:val="00B50555"/>
    <w:rsid w:val="00B55B4C"/>
    <w:rsid w:val="00B55D63"/>
    <w:rsid w:val="00B57343"/>
    <w:rsid w:val="00B62C90"/>
    <w:rsid w:val="00B66410"/>
    <w:rsid w:val="00B67BA5"/>
    <w:rsid w:val="00B67F6F"/>
    <w:rsid w:val="00B7604B"/>
    <w:rsid w:val="00B84946"/>
    <w:rsid w:val="00B84A97"/>
    <w:rsid w:val="00B85CB0"/>
    <w:rsid w:val="00B87020"/>
    <w:rsid w:val="00B904FF"/>
    <w:rsid w:val="00B929AA"/>
    <w:rsid w:val="00B94977"/>
    <w:rsid w:val="00B95655"/>
    <w:rsid w:val="00B95BEB"/>
    <w:rsid w:val="00B97142"/>
    <w:rsid w:val="00BA075D"/>
    <w:rsid w:val="00BA1462"/>
    <w:rsid w:val="00BA3EFC"/>
    <w:rsid w:val="00BA7DB4"/>
    <w:rsid w:val="00BB1FA9"/>
    <w:rsid w:val="00BC448A"/>
    <w:rsid w:val="00BD0FF7"/>
    <w:rsid w:val="00BD7756"/>
    <w:rsid w:val="00BD7858"/>
    <w:rsid w:val="00BE03FF"/>
    <w:rsid w:val="00BE77C1"/>
    <w:rsid w:val="00BE7DBB"/>
    <w:rsid w:val="00BF4D27"/>
    <w:rsid w:val="00BF698D"/>
    <w:rsid w:val="00BF79F9"/>
    <w:rsid w:val="00C00473"/>
    <w:rsid w:val="00C00BCE"/>
    <w:rsid w:val="00C02F60"/>
    <w:rsid w:val="00C13C9E"/>
    <w:rsid w:val="00C205C9"/>
    <w:rsid w:val="00C225FA"/>
    <w:rsid w:val="00C24284"/>
    <w:rsid w:val="00C24981"/>
    <w:rsid w:val="00C249E0"/>
    <w:rsid w:val="00C3536B"/>
    <w:rsid w:val="00C35493"/>
    <w:rsid w:val="00C35976"/>
    <w:rsid w:val="00C361A8"/>
    <w:rsid w:val="00C424B1"/>
    <w:rsid w:val="00C445F8"/>
    <w:rsid w:val="00C51736"/>
    <w:rsid w:val="00C569CC"/>
    <w:rsid w:val="00C628CE"/>
    <w:rsid w:val="00C65FDB"/>
    <w:rsid w:val="00C66CAA"/>
    <w:rsid w:val="00C67221"/>
    <w:rsid w:val="00C67321"/>
    <w:rsid w:val="00C749A0"/>
    <w:rsid w:val="00C81643"/>
    <w:rsid w:val="00C81DC5"/>
    <w:rsid w:val="00C84F73"/>
    <w:rsid w:val="00C85033"/>
    <w:rsid w:val="00C91461"/>
    <w:rsid w:val="00CA10D2"/>
    <w:rsid w:val="00CA1E50"/>
    <w:rsid w:val="00CA335B"/>
    <w:rsid w:val="00CB063A"/>
    <w:rsid w:val="00CB1D1B"/>
    <w:rsid w:val="00CB5CFC"/>
    <w:rsid w:val="00CB6E28"/>
    <w:rsid w:val="00CC27EE"/>
    <w:rsid w:val="00CD4D05"/>
    <w:rsid w:val="00CD5190"/>
    <w:rsid w:val="00CE1FA3"/>
    <w:rsid w:val="00CF71FB"/>
    <w:rsid w:val="00D058A0"/>
    <w:rsid w:val="00D07F93"/>
    <w:rsid w:val="00D176A9"/>
    <w:rsid w:val="00D21572"/>
    <w:rsid w:val="00D22C39"/>
    <w:rsid w:val="00D25524"/>
    <w:rsid w:val="00D34C2C"/>
    <w:rsid w:val="00D3510D"/>
    <w:rsid w:val="00D35717"/>
    <w:rsid w:val="00D41F0C"/>
    <w:rsid w:val="00D42848"/>
    <w:rsid w:val="00D42E7A"/>
    <w:rsid w:val="00D52018"/>
    <w:rsid w:val="00D54C18"/>
    <w:rsid w:val="00D611FC"/>
    <w:rsid w:val="00D64B8B"/>
    <w:rsid w:val="00D66CE8"/>
    <w:rsid w:val="00D67439"/>
    <w:rsid w:val="00D7178E"/>
    <w:rsid w:val="00D72158"/>
    <w:rsid w:val="00D724CD"/>
    <w:rsid w:val="00D75224"/>
    <w:rsid w:val="00D756D9"/>
    <w:rsid w:val="00D8123B"/>
    <w:rsid w:val="00D81896"/>
    <w:rsid w:val="00D90F9F"/>
    <w:rsid w:val="00DA01FD"/>
    <w:rsid w:val="00DA3A37"/>
    <w:rsid w:val="00DA6CD7"/>
    <w:rsid w:val="00DA7AAF"/>
    <w:rsid w:val="00DB0863"/>
    <w:rsid w:val="00DB1226"/>
    <w:rsid w:val="00DB19F0"/>
    <w:rsid w:val="00DB5B78"/>
    <w:rsid w:val="00DB75B1"/>
    <w:rsid w:val="00DB7679"/>
    <w:rsid w:val="00DC0306"/>
    <w:rsid w:val="00DC26D1"/>
    <w:rsid w:val="00DD59BB"/>
    <w:rsid w:val="00DE31A6"/>
    <w:rsid w:val="00DE3C57"/>
    <w:rsid w:val="00DE483C"/>
    <w:rsid w:val="00DE6925"/>
    <w:rsid w:val="00DF2FFB"/>
    <w:rsid w:val="00DF3B62"/>
    <w:rsid w:val="00E0523D"/>
    <w:rsid w:val="00E0712B"/>
    <w:rsid w:val="00E16407"/>
    <w:rsid w:val="00E2064E"/>
    <w:rsid w:val="00E21C7C"/>
    <w:rsid w:val="00E24157"/>
    <w:rsid w:val="00E24897"/>
    <w:rsid w:val="00E278EC"/>
    <w:rsid w:val="00E27E9E"/>
    <w:rsid w:val="00E3155B"/>
    <w:rsid w:val="00E41D16"/>
    <w:rsid w:val="00E43A66"/>
    <w:rsid w:val="00E500EB"/>
    <w:rsid w:val="00E52943"/>
    <w:rsid w:val="00E53151"/>
    <w:rsid w:val="00E54C31"/>
    <w:rsid w:val="00E5617B"/>
    <w:rsid w:val="00E60BC6"/>
    <w:rsid w:val="00E62A30"/>
    <w:rsid w:val="00E647E0"/>
    <w:rsid w:val="00E6598C"/>
    <w:rsid w:val="00E7013C"/>
    <w:rsid w:val="00E71FE6"/>
    <w:rsid w:val="00E72B47"/>
    <w:rsid w:val="00E74CAE"/>
    <w:rsid w:val="00E75E6A"/>
    <w:rsid w:val="00E808AD"/>
    <w:rsid w:val="00E8214F"/>
    <w:rsid w:val="00E82216"/>
    <w:rsid w:val="00E82D5A"/>
    <w:rsid w:val="00E86017"/>
    <w:rsid w:val="00E870C3"/>
    <w:rsid w:val="00E8796F"/>
    <w:rsid w:val="00E956E6"/>
    <w:rsid w:val="00E95936"/>
    <w:rsid w:val="00E95AF8"/>
    <w:rsid w:val="00E95F1C"/>
    <w:rsid w:val="00EA07AC"/>
    <w:rsid w:val="00EA27A6"/>
    <w:rsid w:val="00EA28C9"/>
    <w:rsid w:val="00EA2D4B"/>
    <w:rsid w:val="00EA4C85"/>
    <w:rsid w:val="00EA4DDA"/>
    <w:rsid w:val="00EA672C"/>
    <w:rsid w:val="00EA7851"/>
    <w:rsid w:val="00EB0608"/>
    <w:rsid w:val="00EB3A96"/>
    <w:rsid w:val="00EB6067"/>
    <w:rsid w:val="00EC7B2A"/>
    <w:rsid w:val="00ED0097"/>
    <w:rsid w:val="00ED2AF6"/>
    <w:rsid w:val="00ED374D"/>
    <w:rsid w:val="00ED3F83"/>
    <w:rsid w:val="00EE391C"/>
    <w:rsid w:val="00EF211A"/>
    <w:rsid w:val="00EF5115"/>
    <w:rsid w:val="00F03E20"/>
    <w:rsid w:val="00F04CC8"/>
    <w:rsid w:val="00F05912"/>
    <w:rsid w:val="00F060E9"/>
    <w:rsid w:val="00F101B4"/>
    <w:rsid w:val="00F21844"/>
    <w:rsid w:val="00F22734"/>
    <w:rsid w:val="00F22E1A"/>
    <w:rsid w:val="00F247AD"/>
    <w:rsid w:val="00F306D1"/>
    <w:rsid w:val="00F378C9"/>
    <w:rsid w:val="00F41AFD"/>
    <w:rsid w:val="00F4285B"/>
    <w:rsid w:val="00F4556F"/>
    <w:rsid w:val="00F57F9A"/>
    <w:rsid w:val="00F7031C"/>
    <w:rsid w:val="00F74D6F"/>
    <w:rsid w:val="00F7677A"/>
    <w:rsid w:val="00F9284B"/>
    <w:rsid w:val="00F92F6D"/>
    <w:rsid w:val="00F933F6"/>
    <w:rsid w:val="00F9488F"/>
    <w:rsid w:val="00F96B17"/>
    <w:rsid w:val="00FA014C"/>
    <w:rsid w:val="00FA1EAF"/>
    <w:rsid w:val="00FB5180"/>
    <w:rsid w:val="00FB5A39"/>
    <w:rsid w:val="00FC21A2"/>
    <w:rsid w:val="00FC2F10"/>
    <w:rsid w:val="00FC3C38"/>
    <w:rsid w:val="00FC4032"/>
    <w:rsid w:val="00FC45E1"/>
    <w:rsid w:val="00FD1003"/>
    <w:rsid w:val="00FD101A"/>
    <w:rsid w:val="00FD6B30"/>
    <w:rsid w:val="00FE46FF"/>
    <w:rsid w:val="00FE6806"/>
    <w:rsid w:val="00FF5C37"/>
    <w:rsid w:val="03E70181"/>
    <w:rsid w:val="05B07C76"/>
    <w:rsid w:val="05CD19AC"/>
    <w:rsid w:val="074337E0"/>
    <w:rsid w:val="09617C81"/>
    <w:rsid w:val="0D2247FF"/>
    <w:rsid w:val="15070E5F"/>
    <w:rsid w:val="158F6C4F"/>
    <w:rsid w:val="16AC799E"/>
    <w:rsid w:val="17BE74AF"/>
    <w:rsid w:val="1A11304D"/>
    <w:rsid w:val="1F2F523A"/>
    <w:rsid w:val="21D1028D"/>
    <w:rsid w:val="28F5238C"/>
    <w:rsid w:val="2A487DC1"/>
    <w:rsid w:val="2B102B3E"/>
    <w:rsid w:val="2F3A2E15"/>
    <w:rsid w:val="3702213B"/>
    <w:rsid w:val="41DD3BAE"/>
    <w:rsid w:val="44067317"/>
    <w:rsid w:val="44B70893"/>
    <w:rsid w:val="47930FB6"/>
    <w:rsid w:val="49F07698"/>
    <w:rsid w:val="4B394DCA"/>
    <w:rsid w:val="4DEF5855"/>
    <w:rsid w:val="4EF50667"/>
    <w:rsid w:val="51BA1B77"/>
    <w:rsid w:val="563950A2"/>
    <w:rsid w:val="56F1361D"/>
    <w:rsid w:val="58614926"/>
    <w:rsid w:val="59F8627F"/>
    <w:rsid w:val="5B155928"/>
    <w:rsid w:val="62666E6A"/>
    <w:rsid w:val="69C26E5D"/>
    <w:rsid w:val="7A64481E"/>
    <w:rsid w:val="7B557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9"/>
    <w:semiHidden/>
    <w:unhideWhenUsed/>
    <w:qFormat/>
    <w:uiPriority w:val="99"/>
    <w:pPr>
      <w:jc w:val="left"/>
    </w:pPr>
  </w:style>
  <w:style w:type="paragraph" w:styleId="3">
    <w:name w:val="Date"/>
    <w:basedOn w:val="1"/>
    <w:next w:val="1"/>
    <w:link w:val="18"/>
    <w:semiHidden/>
    <w:unhideWhenUsed/>
    <w:qFormat/>
    <w:uiPriority w:val="99"/>
    <w:pPr>
      <w:ind w:left="100" w:leftChars="2500"/>
    </w:pPr>
  </w:style>
  <w:style w:type="paragraph" w:styleId="4">
    <w:name w:val="Balloon Text"/>
    <w:basedOn w:val="1"/>
    <w:link w:val="21"/>
    <w:semiHidden/>
    <w:unhideWhenUsed/>
    <w:qFormat/>
    <w:uiPriority w:val="99"/>
    <w:rPr>
      <w:sz w:val="18"/>
      <w:szCs w:val="18"/>
    </w:rPr>
  </w:style>
  <w:style w:type="paragraph" w:styleId="5">
    <w:name w:val="footer"/>
    <w:basedOn w:val="1"/>
    <w:link w:val="16"/>
    <w:semiHidden/>
    <w:unhideWhenUsed/>
    <w:qFormat/>
    <w:uiPriority w:val="99"/>
    <w:pPr>
      <w:tabs>
        <w:tab w:val="center" w:pos="4153"/>
        <w:tab w:val="right" w:pos="8306"/>
      </w:tabs>
      <w:snapToGrid w:val="0"/>
      <w:jc w:val="left"/>
    </w:pPr>
    <w:rPr>
      <w:sz w:val="18"/>
      <w:szCs w:val="18"/>
    </w:rPr>
  </w:style>
  <w:style w:type="paragraph" w:styleId="6">
    <w:name w:val="header"/>
    <w:basedOn w:val="1"/>
    <w:link w:val="15"/>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spacing w:beforeAutospacing="1" w:afterAutospacing="1"/>
      <w:jc w:val="left"/>
    </w:pPr>
    <w:rPr>
      <w:rFonts w:cs="Times New Roman"/>
      <w:kern w:val="0"/>
      <w:sz w:val="24"/>
    </w:rPr>
  </w:style>
  <w:style w:type="paragraph" w:styleId="8">
    <w:name w:val="annotation subject"/>
    <w:basedOn w:val="2"/>
    <w:next w:val="2"/>
    <w:link w:val="20"/>
    <w:semiHidden/>
    <w:unhideWhenUsed/>
    <w:qFormat/>
    <w:uiPriority w:val="99"/>
    <w:rPr>
      <w:b/>
      <w:bCs/>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2">
    <w:name w:val="Strong"/>
    <w:basedOn w:val="11"/>
    <w:qFormat/>
    <w:uiPriority w:val="22"/>
    <w:rPr>
      <w:b/>
    </w:rPr>
  </w:style>
  <w:style w:type="character" w:styleId="13">
    <w:name w:val="Hyperlink"/>
    <w:basedOn w:val="11"/>
    <w:unhideWhenUsed/>
    <w:qFormat/>
    <w:uiPriority w:val="99"/>
    <w:rPr>
      <w:color w:val="0000FF" w:themeColor="hyperlink"/>
      <w:u w:val="single"/>
    </w:rPr>
  </w:style>
  <w:style w:type="character" w:styleId="14">
    <w:name w:val="annotation reference"/>
    <w:basedOn w:val="11"/>
    <w:semiHidden/>
    <w:unhideWhenUsed/>
    <w:qFormat/>
    <w:uiPriority w:val="99"/>
    <w:rPr>
      <w:sz w:val="21"/>
      <w:szCs w:val="21"/>
    </w:rPr>
  </w:style>
  <w:style w:type="character" w:customStyle="1" w:styleId="15">
    <w:name w:val="页眉 Char"/>
    <w:basedOn w:val="11"/>
    <w:link w:val="6"/>
    <w:semiHidden/>
    <w:qFormat/>
    <w:uiPriority w:val="99"/>
    <w:rPr>
      <w:sz w:val="18"/>
      <w:szCs w:val="18"/>
    </w:rPr>
  </w:style>
  <w:style w:type="character" w:customStyle="1" w:styleId="16">
    <w:name w:val="页脚 Char"/>
    <w:basedOn w:val="11"/>
    <w:link w:val="5"/>
    <w:semiHidden/>
    <w:qFormat/>
    <w:uiPriority w:val="99"/>
    <w:rPr>
      <w:sz w:val="18"/>
      <w:szCs w:val="18"/>
    </w:rPr>
  </w:style>
  <w:style w:type="paragraph" w:styleId="17">
    <w:name w:val="List Paragraph"/>
    <w:basedOn w:val="1"/>
    <w:qFormat/>
    <w:uiPriority w:val="34"/>
    <w:pPr>
      <w:ind w:firstLine="420" w:firstLineChars="200"/>
    </w:pPr>
  </w:style>
  <w:style w:type="character" w:customStyle="1" w:styleId="18">
    <w:name w:val="日期 Char"/>
    <w:basedOn w:val="11"/>
    <w:link w:val="3"/>
    <w:semiHidden/>
    <w:qFormat/>
    <w:uiPriority w:val="99"/>
  </w:style>
  <w:style w:type="character" w:customStyle="1" w:styleId="19">
    <w:name w:val="批注文字 Char"/>
    <w:basedOn w:val="11"/>
    <w:link w:val="2"/>
    <w:semiHidden/>
    <w:qFormat/>
    <w:uiPriority w:val="99"/>
  </w:style>
  <w:style w:type="character" w:customStyle="1" w:styleId="20">
    <w:name w:val="批注主题 Char"/>
    <w:basedOn w:val="19"/>
    <w:link w:val="8"/>
    <w:semiHidden/>
    <w:qFormat/>
    <w:uiPriority w:val="99"/>
    <w:rPr>
      <w:b/>
      <w:bCs/>
    </w:rPr>
  </w:style>
  <w:style w:type="character" w:customStyle="1" w:styleId="21">
    <w:name w:val="批注框文本 Char"/>
    <w:basedOn w:val="11"/>
    <w:link w:val="4"/>
    <w:semiHidden/>
    <w:qFormat/>
    <w:uiPriority w:val="99"/>
    <w:rPr>
      <w:sz w:val="18"/>
      <w:szCs w:val="18"/>
    </w:rPr>
  </w:style>
  <w:style w:type="character" w:customStyle="1" w:styleId="22">
    <w:name w:val="font21"/>
    <w:basedOn w:val="11"/>
    <w:qFormat/>
    <w:uiPriority w:val="0"/>
    <w:rPr>
      <w:rFonts w:hint="eastAsia" w:ascii="宋体" w:hAnsi="宋体" w:eastAsia="宋体" w:cs="宋体"/>
      <w:color w:val="000000"/>
      <w:sz w:val="20"/>
      <w:szCs w:val="20"/>
      <w:u w:val="none"/>
    </w:rPr>
  </w:style>
  <w:style w:type="character" w:customStyle="1" w:styleId="23">
    <w:name w:val="font11"/>
    <w:basedOn w:val="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0A5B8E-5306-4FA6-B30C-8855EBF887A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1353</Words>
  <Characters>7717</Characters>
  <Lines>64</Lines>
  <Paragraphs>18</Paragraphs>
  <TotalTime>1</TotalTime>
  <ScaleCrop>false</ScaleCrop>
  <LinksUpToDate>false</LinksUpToDate>
  <CharactersWithSpaces>9052</CharactersWithSpaces>
  <Application>WPS Office_11.1.0.9005_F1E327BC-269C-435d-A152-05C5408002CA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2018-01-26T03:15:00Z</dcterms:created>
  <dc:creator>a</dc:creator>
  <cp:lastModifiedBy>Lyre吖沂</cp:lastModifiedBy>
  <cp:lastPrinted>2018-11-20T05:45:00Z</cp:lastPrinted>
  <dcterms:modified xsi:type="dcterms:W3CDTF">2019-11-25T02:58:47Z</dcterms:modified>
  <cp:revision>663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2052-11.1.0.9005</vt:lpwstr>
  </property>
</Properties>
</file>