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5154" w:type="pct"/>
        <w:tblInd w:w="0" w:type="dxa"/>
        <w:tblLayout w:type="autofit"/>
        <w:tblCellMar>
          <w:top w:w="0" w:type="dxa"/>
          <w:left w:w="108" w:type="dxa"/>
          <w:bottom w:w="0" w:type="dxa"/>
          <w:right w:w="108" w:type="dxa"/>
        </w:tblCellMar>
      </w:tblPr>
      <w:tblGrid>
        <w:gridCol w:w="1528"/>
        <w:gridCol w:w="3399"/>
        <w:gridCol w:w="3857"/>
      </w:tblGrid>
      <w:tr>
        <w:tblPrEx>
          <w:tblCellMar>
            <w:top w:w="0" w:type="dxa"/>
            <w:left w:w="108" w:type="dxa"/>
            <w:bottom w:w="0" w:type="dxa"/>
            <w:right w:w="108" w:type="dxa"/>
          </w:tblCellMar>
        </w:tblPrEx>
        <w:trPr>
          <w:trHeight w:val="54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页码（2020）</w:t>
            </w:r>
          </w:p>
        </w:tc>
        <w:tc>
          <w:tcPr>
            <w:tcW w:w="193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201</w:t>
            </w:r>
            <w:r>
              <w:rPr>
                <w:rFonts w:cs="宋体" w:asciiTheme="minorEastAsia" w:hAnsiTheme="minorEastAsia"/>
                <w:color w:val="000000"/>
                <w:kern w:val="0"/>
                <w:szCs w:val="21"/>
              </w:rPr>
              <w:t>9</w:t>
            </w:r>
            <w:r>
              <w:rPr>
                <w:rFonts w:hint="eastAsia" w:cs="宋体" w:asciiTheme="minorEastAsia" w:hAnsiTheme="minorEastAsia"/>
                <w:color w:val="000000"/>
                <w:kern w:val="0"/>
                <w:szCs w:val="21"/>
              </w:rPr>
              <w:t>年指南</w:t>
            </w:r>
          </w:p>
        </w:tc>
        <w:tc>
          <w:tcPr>
            <w:tcW w:w="2195" w:type="pct"/>
            <w:tcBorders>
              <w:top w:val="single" w:color="auto" w:sz="4" w:space="0"/>
              <w:left w:val="nil"/>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20</w:t>
            </w:r>
            <w:r>
              <w:rPr>
                <w:rFonts w:cs="宋体" w:asciiTheme="minorEastAsia" w:hAnsiTheme="minorEastAsia"/>
                <w:color w:val="000000"/>
                <w:kern w:val="0"/>
                <w:szCs w:val="21"/>
              </w:rPr>
              <w:t>20</w:t>
            </w:r>
            <w:r>
              <w:rPr>
                <w:rFonts w:hint="eastAsia" w:cs="宋体" w:asciiTheme="minorEastAsia" w:hAnsiTheme="minorEastAsia"/>
                <w:color w:val="000000"/>
                <w:kern w:val="0"/>
                <w:szCs w:val="21"/>
              </w:rPr>
              <w:t>年指南</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75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highlight w:val="yellow"/>
              </w:rPr>
            </w:pPr>
            <w:r>
              <w:rPr>
                <w:rFonts w:hint="eastAsia" w:cs="宋体" w:asciiTheme="minorEastAsia" w:hAnsiTheme="minorEastAsia"/>
                <w:color w:val="000000"/>
                <w:kern w:val="0"/>
                <w:szCs w:val="21"/>
              </w:rPr>
              <w:t>(二）二级结构蛋白质分子的二级结构是指蛋白质分子中某一段肽链的局部空间结构</w:t>
            </w:r>
            <w:r>
              <w:rPr>
                <w:rFonts w:hint="eastAsia" w:cs="宋体" w:asciiTheme="minorEastAsia" w:hAnsiTheme="minorEastAsia"/>
                <w:color w:val="000000"/>
                <w:kern w:val="0"/>
                <w:szCs w:val="21"/>
                <w:highlight w:val="yellow"/>
              </w:rPr>
              <w:t>,即多肽链骨架中原 丨</w:t>
            </w:r>
          </w:p>
          <w:p>
            <w:pPr>
              <w:autoSpaceDE w:val="0"/>
              <w:autoSpaceDN w:val="0"/>
              <w:adjustRightInd w:val="0"/>
              <w:ind w:firstLine="0" w:firstLineChars="0"/>
              <w:jc w:val="left"/>
              <w:rPr>
                <w:rFonts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子的局部全间排列,并不涉及侧链的构象。所有蛋白质中均有二级结构的存在,主要形式包括a -螺旋、p-折叠、p- I</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highlight w:val="yellow"/>
              </w:rPr>
              <w:t>转角和无规卷曲等。</w:t>
            </w:r>
            <w:r>
              <w:rPr>
                <w:rFonts w:hint="eastAsia" w:cs="宋体" w:asciiTheme="minorEastAsia" w:hAnsiTheme="minorEastAsia"/>
                <w:color w:val="000000"/>
                <w:kern w:val="0"/>
                <w:szCs w:val="21"/>
              </w:rPr>
              <w:t>蛋白质二级结构主要由氢键维系。</w:t>
            </w:r>
          </w:p>
        </w:tc>
        <w:tc>
          <w:tcPr>
            <w:tcW w:w="219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highlight w:val="yellow"/>
              </w:rPr>
            </w:pPr>
            <w:r>
              <w:rPr>
                <w:rFonts w:hint="eastAsia" w:cs="宋体" w:asciiTheme="minorEastAsia" w:hAnsiTheme="minorEastAsia"/>
                <w:color w:val="000000"/>
                <w:kern w:val="0"/>
                <w:szCs w:val="21"/>
              </w:rPr>
              <w:t>(二）</w:t>
            </w:r>
            <w:r>
              <w:rPr>
                <w:rFonts w:hint="eastAsia" w:cs="宋体" w:asciiTheme="minorEastAsia" w:hAnsiTheme="minorEastAsia"/>
                <w:color w:val="000000"/>
                <w:kern w:val="0"/>
                <w:szCs w:val="21"/>
                <w:highlight w:val="yellow"/>
              </w:rPr>
              <w:t>二级结构蛋白质分子的二级结构是指蛋白质分子中某一段肽链的局部空间结构，即多肽链骨架中</w:t>
            </w:r>
          </w:p>
          <w:p>
            <w:pPr>
              <w:autoSpaceDE w:val="0"/>
              <w:autoSpaceDN w:val="0"/>
              <w:adjustRightInd w:val="0"/>
              <w:ind w:firstLine="0" w:firstLineChars="0"/>
              <w:jc w:val="left"/>
              <w:rPr>
                <w:rFonts w:cs="宋体" w:asciiTheme="minorEastAsia" w:hAnsiTheme="minorEastAsia"/>
                <w:color w:val="000000"/>
                <w:kern w:val="0"/>
                <w:szCs w:val="21"/>
                <w:highlight w:val="yellow"/>
              </w:rPr>
            </w:pPr>
            <w:r>
              <w:rPr>
                <w:rFonts w:hint="eastAsia" w:cs="宋体" w:asciiTheme="minorEastAsia" w:hAnsiTheme="minorEastAsia"/>
                <w:color w:val="000000"/>
                <w:kern w:val="0"/>
                <w:szCs w:val="21"/>
                <w:highlight w:val="yellow"/>
              </w:rPr>
              <w:t>原子的局部空间排列，并不涉及侧链的构象。所有蛋白质中均有二级结构的存在，主要形式包括a-螺旋、P-折叠</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000000"/>
                <w:kern w:val="0"/>
                <w:szCs w:val="21"/>
                <w:highlight w:val="yellow"/>
              </w:rPr>
              <w:t>和(3-转角等。</w:t>
            </w:r>
            <w:r>
              <w:rPr>
                <w:rFonts w:hint="eastAsia" w:cs="宋体" w:asciiTheme="minorEastAsia" w:hAnsiTheme="minorEastAsia"/>
                <w:color w:val="000000"/>
                <w:kern w:val="0"/>
                <w:szCs w:val="21"/>
              </w:rPr>
              <w:t>蛋白质二级结构主要由氢键维系。</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75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蛋白质二级结构还包括p -转角和无规卷曲。转角常发生于肽链进行180°回折时的转角上。无规卷曲是 \</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用来描述没有确定规律性的那部分肽链结构。</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蛋白质二级结构还包括P-转角。P-转角常发生于肽链进行180°回折时的转角上。</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84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表2-1 辅酶的种类及其作用</w:t>
            </w:r>
          </w:p>
          <w:p>
            <w:pPr>
              <w:autoSpaceDE w:val="0"/>
              <w:autoSpaceDN w:val="0"/>
              <w:adjustRightInd w:val="0"/>
              <w:ind w:firstLine="0" w:firstLineChars="0"/>
              <w:jc w:val="left"/>
              <w:rPr>
                <w:rFonts w:cs="宋体" w:asciiTheme="minorEastAsia" w:hAnsiTheme="minorEastAsia"/>
                <w:color w:val="000000"/>
                <w:kern w:val="0"/>
                <w:szCs w:val="21"/>
              </w:rPr>
            </w:pPr>
            <w:r>
              <w:rPr>
                <w:rFonts w:cs="宋体" w:asciiTheme="minorEastAsia" w:hAnsiTheme="minorEastAsia"/>
                <w:color w:val="000000"/>
                <w:kern w:val="0"/>
                <w:szCs w:val="21"/>
              </w:rPr>
              <w:t>遍多酸</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表2 - 1辅酶的种类及其作用</w:t>
            </w:r>
          </w:p>
          <w:p>
            <w:pPr>
              <w:widowControl/>
              <w:ind w:firstLine="0" w:firstLineChars="0"/>
              <w:rPr>
                <w:rFonts w:cs="宋体" w:asciiTheme="minorEastAsia" w:hAnsiTheme="minorEastAsia"/>
                <w:color w:val="FF0000"/>
                <w:kern w:val="0"/>
                <w:szCs w:val="21"/>
              </w:rPr>
            </w:pPr>
            <w:r>
              <w:rPr>
                <w:rFonts w:hint="eastAsia" w:cs="宋体" w:asciiTheme="minorEastAsia" w:hAnsiTheme="minorEastAsia"/>
                <w:color w:val="FF0000"/>
                <w:kern w:val="0"/>
                <w:szCs w:val="21"/>
              </w:rPr>
              <w:t>泛酸</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88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(3 )异柠檬酸转变成a -酮戊二酸，反应由异柠檬酸脱氢酶催化。</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highlight w:val="yellow"/>
              </w:rPr>
              <w:t>( 3 )异柠檬酸转变成ct-酮戊二酸和NADH+H+，反应由异柠檬酸脱氢酶催化</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92</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(3) ATP合酶抑制剂:与呼吸链抑制剂不同，这类抑制剂对电子传递和ADP磷酸化均有抑制作用。如寡霉素</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可结合ATP合酶的F。单位，二环己基碳二亚胺共价结合F。的c亚基，阻断H+从F。半通道回流,抑制ATP合酶</w:t>
            </w:r>
          </w:p>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活性。由于线粒体内膜两侧质子电化学梯度增高影响呼吸链质子泵的功能,继而影响电子传递。</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(3) ATP合酶抑制剂:与呼吸链抑制剂不同,这类抑制剂对电子传递和ADP磷酸化均有抑制作用。如寡霉</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素可结合ATP合酶的F。</w:t>
            </w:r>
            <w:r>
              <w:rPr>
                <w:rFonts w:hint="eastAsia" w:cs="宋体" w:asciiTheme="minorEastAsia" w:hAnsiTheme="minorEastAsia"/>
                <w:color w:val="FF0000"/>
                <w:kern w:val="0"/>
                <w:szCs w:val="21"/>
              </w:rPr>
              <w:t>的c亚基，阻断H+从F。半通道回流，抑制ATP合酶活性</w:t>
            </w:r>
            <w:r>
              <w:rPr>
                <w:rFonts w:hint="eastAsia" w:cs="宋体" w:asciiTheme="minorEastAsia" w:hAnsiTheme="minorEastAsia"/>
                <w:kern w:val="0"/>
                <w:szCs w:val="21"/>
              </w:rPr>
              <w:t>。由于线粒体内膜两侧质子电</w:t>
            </w:r>
          </w:p>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化学梯度增高影响呼吸链质子泵的功能，继而影响电子传递。</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94</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此转运过程是脂肪酸氧化的限速步骤，肉碱-脂酰转移酶I是限速酶。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此转运过程是脂肪酸氧化的限速步骤，肉碱-脂酰转移酶I是</w:t>
            </w:r>
            <w:r>
              <w:rPr>
                <w:rFonts w:hint="eastAsia" w:cs="宋体" w:asciiTheme="minorEastAsia" w:hAnsiTheme="minorEastAsia"/>
                <w:color w:val="FF0000"/>
                <w:kern w:val="0"/>
                <w:szCs w:val="21"/>
              </w:rPr>
              <w:t>关键酶</w:t>
            </w:r>
            <w:r>
              <w:rPr>
                <w:rFonts w:hint="eastAsia" w:cs="宋体" w:asciiTheme="minorEastAsia" w:hAnsiTheme="minorEastAsia"/>
                <w:kern w:val="0"/>
                <w:szCs w:val="21"/>
              </w:rPr>
              <w:t>。</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color w:val="000000"/>
                <w:kern w:val="0"/>
                <w:szCs w:val="21"/>
              </w:rPr>
            </w:pPr>
            <w:r>
              <w:rPr>
                <w:rFonts w:hint="eastAsia" w:cs="宋体" w:asciiTheme="minorEastAsia" w:hAnsiTheme="minorEastAsia"/>
                <w:color w:val="000000"/>
                <w:kern w:val="0"/>
                <w:szCs w:val="21"/>
              </w:rPr>
              <w:t>95</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限速酶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关键酶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97</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kern w:val="0"/>
                <w:szCs w:val="21"/>
              </w:rPr>
            </w:pPr>
            <w:r>
              <w:rPr>
                <w:rFonts w:hint="eastAsia" w:cs="宋体" w:asciiTheme="minorEastAsia" w:hAnsiTheme="minorEastAsia"/>
                <w:kern w:val="0"/>
                <w:szCs w:val="21"/>
              </w:rPr>
              <w:t>能直接、间接辨认和结合转录基因不同区段DNA的蛋白质，</w:t>
            </w:r>
            <w:r>
              <w:rPr>
                <w:rFonts w:hint="eastAsia" w:cs="宋体" w:asciiTheme="minorEastAsia" w:hAnsiTheme="minorEastAsia"/>
                <w:color w:val="FF0000"/>
                <w:kern w:val="0"/>
                <w:szCs w:val="21"/>
              </w:rPr>
              <w:t>现已发现数百种</w:t>
            </w:r>
            <w:r>
              <w:rPr>
                <w:rFonts w:hint="eastAsia" w:cs="宋体" w:asciiTheme="minorEastAsia" w:hAnsiTheme="minorEastAsia"/>
                <w:kern w:val="0"/>
                <w:szCs w:val="21"/>
              </w:rPr>
              <w:t>，统称为反式作用因子。</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现已发现数百种</w:t>
            </w:r>
            <w:r>
              <w:rPr>
                <w:rFonts w:hint="eastAsia" w:cs="宋体" w:asciiTheme="minorEastAsia" w:hAnsiTheme="minorEastAsia"/>
                <w:kern w:val="0"/>
                <w:szCs w:val="21"/>
              </w:rPr>
              <w:t>能直接、间接辨认和结合转录基因不同区段DNA的蛋白质，统称为反式作用因子。</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107</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3.肽键的延长  新增：</w:t>
            </w:r>
            <w:r>
              <w:rPr>
                <w:rFonts w:hint="eastAsia" w:cs="宋体" w:asciiTheme="minorEastAsia" w:hAnsiTheme="minorEastAsia"/>
                <w:color w:val="FF0000"/>
                <w:kern w:val="0"/>
                <w:szCs w:val="21"/>
              </w:rPr>
              <w:t>肽基转移酶属于核酶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110</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七次跨膜受体</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七跨膜受体</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112</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5.重组体的筛选</w:t>
            </w:r>
            <w:r>
              <w:rPr>
                <w:rFonts w:hint="eastAsia" w:cs="宋体" w:asciiTheme="minorEastAsia" w:hAnsiTheme="minorEastAsia"/>
                <w:color w:val="FF0000"/>
                <w:kern w:val="0"/>
                <w:szCs w:val="21"/>
              </w:rPr>
              <w:t>鉴定</w:t>
            </w:r>
            <w:r>
              <w:rPr>
                <w:rFonts w:hint="eastAsia" w:cs="宋体" w:asciiTheme="minorEastAsia" w:hAnsiTheme="minorEastAsia"/>
                <w:kern w:val="0"/>
                <w:szCs w:val="21"/>
              </w:rPr>
              <w:t xml:space="preserve">    哪一菌落……</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 xml:space="preserve">5.重组体的筛选    </w:t>
            </w:r>
            <w:r>
              <w:rPr>
                <w:rFonts w:hint="eastAsia" w:cs="宋体" w:asciiTheme="minorEastAsia" w:hAnsiTheme="minorEastAsia"/>
                <w:color w:val="FF0000"/>
                <w:kern w:val="0"/>
                <w:szCs w:val="21"/>
              </w:rPr>
              <w:t>鉴定出的</w:t>
            </w:r>
            <w:r>
              <w:rPr>
                <w:rFonts w:hint="eastAsia" w:cs="宋体" w:asciiTheme="minorEastAsia" w:hAnsiTheme="minorEastAsia"/>
                <w:kern w:val="0"/>
                <w:szCs w:val="21"/>
              </w:rPr>
              <w:t>菌落……</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116</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限速酶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关键酶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117</w:t>
            </w:r>
          </w:p>
        </w:tc>
        <w:tc>
          <w:tcPr>
            <w:tcW w:w="1935" w:type="pct"/>
            <w:tcBorders>
              <w:top w:val="single" w:color="auto" w:sz="4" w:space="0"/>
              <w:left w:val="single" w:color="auto" w:sz="4" w:space="0"/>
              <w:bottom w:val="single" w:color="auto" w:sz="4" w:space="0"/>
              <w:right w:val="single" w:color="auto" w:sz="4" w:space="0"/>
            </w:tcBorders>
          </w:tcPr>
          <w:p>
            <w:pPr>
              <w:pStyle w:val="15"/>
              <w:widowControl/>
              <w:autoSpaceDE/>
              <w:autoSpaceDN/>
              <w:adjustRightInd/>
              <w:jc w:val="both"/>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表2-6中</w:t>
            </w:r>
          </w:p>
          <w:p>
            <w:pPr>
              <w:pStyle w:val="15"/>
              <w:widowControl/>
              <w:autoSpaceDE/>
              <w:autoSpaceDN/>
              <w:adjustRightInd/>
              <w:jc w:val="both"/>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细胞色素P</w:t>
            </w:r>
            <w:r>
              <w:rPr>
                <w:rFonts w:hint="eastAsia" w:cs="宋体" w:asciiTheme="minorEastAsia" w:hAnsiTheme="minorEastAsia" w:eastAsiaTheme="minorEastAsia"/>
                <w:color w:val="auto"/>
                <w:sz w:val="21"/>
                <w:szCs w:val="21"/>
                <w:vertAlign w:val="subscript"/>
              </w:rPr>
              <w:t>450</w:t>
            </w:r>
          </w:p>
        </w:tc>
        <w:tc>
          <w:tcPr>
            <w:tcW w:w="2195" w:type="pct"/>
            <w:tcBorders>
              <w:top w:val="single" w:color="auto" w:sz="4" w:space="0"/>
              <w:left w:val="single" w:color="auto" w:sz="4" w:space="0"/>
              <w:bottom w:val="single" w:color="auto" w:sz="4" w:space="0"/>
              <w:right w:val="single" w:color="auto" w:sz="4" w:space="0"/>
            </w:tcBorders>
          </w:tcPr>
          <w:p>
            <w:pPr>
              <w:pStyle w:val="15"/>
              <w:widowControl/>
              <w:autoSpaceDE/>
              <w:autoSpaceDN/>
              <w:adjustRightInd/>
              <w:jc w:val="both"/>
              <w:rPr>
                <w:rFonts w:cs="宋体" w:asciiTheme="minorEastAsia" w:hAnsiTheme="minorEastAsia" w:eastAsiaTheme="minorEastAsia"/>
                <w:color w:val="auto"/>
                <w:sz w:val="21"/>
                <w:szCs w:val="21"/>
              </w:rPr>
            </w:pPr>
            <w:r>
              <w:rPr>
                <w:rFonts w:hint="eastAsia" w:cs="宋体" w:asciiTheme="minorEastAsia" w:hAnsiTheme="minorEastAsia" w:eastAsiaTheme="minorEastAsia"/>
                <w:color w:val="auto"/>
                <w:sz w:val="21"/>
                <w:szCs w:val="21"/>
              </w:rPr>
              <w:t>表2-6中</w:t>
            </w:r>
          </w:p>
          <w:p>
            <w:pPr>
              <w:widowControl/>
              <w:ind w:firstLine="0" w:firstLineChars="0"/>
              <w:rPr>
                <w:rFonts w:cs="宋体" w:asciiTheme="minorEastAsia" w:hAnsiTheme="minorEastAsia"/>
                <w:kern w:val="0"/>
                <w:szCs w:val="21"/>
              </w:rPr>
            </w:pPr>
            <w:r>
              <w:rPr>
                <w:rFonts w:hint="eastAsia" w:cs="宋体" w:asciiTheme="minorEastAsia" w:hAnsiTheme="minorEastAsia"/>
                <w:szCs w:val="21"/>
              </w:rPr>
              <w:t>细胞色素P450</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118</w:t>
            </w:r>
          </w:p>
        </w:tc>
        <w:tc>
          <w:tcPr>
            <w:tcW w:w="1935" w:type="pct"/>
            <w:tcBorders>
              <w:top w:val="single" w:color="auto" w:sz="4" w:space="0"/>
              <w:left w:val="single" w:color="auto" w:sz="4" w:space="0"/>
              <w:bottom w:val="single" w:color="auto" w:sz="4" w:space="0"/>
              <w:right w:val="single" w:color="auto" w:sz="4" w:space="0"/>
            </w:tcBorders>
          </w:tcPr>
          <w:p>
            <w:pPr>
              <w:autoSpaceDE w:val="0"/>
              <w:autoSpaceDN w:val="0"/>
              <w:adjustRightInd w:val="0"/>
              <w:ind w:firstLine="0" w:firstLineChars="0"/>
              <w:jc w:val="left"/>
              <w:rPr>
                <w:rFonts w:cs="宋体" w:asciiTheme="minorEastAsia" w:hAnsiTheme="minorEastAsia"/>
                <w:color w:val="000000"/>
                <w:kern w:val="0"/>
                <w:szCs w:val="21"/>
              </w:rPr>
            </w:pPr>
            <w:r>
              <w:rPr>
                <w:rFonts w:hint="eastAsia" w:cs="宋体" w:asciiTheme="minorEastAsia" w:hAnsiTheme="minorEastAsia"/>
                <w:color w:val="000000"/>
                <w:kern w:val="0"/>
                <w:szCs w:val="21"/>
              </w:rPr>
              <w:t>限速酶</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color w:val="FF0000"/>
                <w:kern w:val="0"/>
                <w:szCs w:val="21"/>
              </w:rPr>
              <w:t>关键酶</w:t>
            </w:r>
          </w:p>
        </w:tc>
      </w:tr>
      <w:tr>
        <w:tblPrEx>
          <w:tblCellMar>
            <w:top w:w="0" w:type="dxa"/>
            <w:left w:w="108" w:type="dxa"/>
            <w:bottom w:w="0" w:type="dxa"/>
            <w:right w:w="108" w:type="dxa"/>
          </w:tblCellMar>
        </w:tblPrEx>
        <w:trPr>
          <w:trHeight w:val="810" w:hRule="atLeast"/>
        </w:trPr>
        <w:tc>
          <w:tcPr>
            <w:tcW w:w="870"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121</w:t>
            </w:r>
          </w:p>
        </w:tc>
        <w:tc>
          <w:tcPr>
            <w:tcW w:w="193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故一般不会缺乏。</w:t>
            </w:r>
          </w:p>
        </w:tc>
        <w:tc>
          <w:tcPr>
            <w:tcW w:w="2195" w:type="pct"/>
            <w:tcBorders>
              <w:top w:val="single" w:color="auto" w:sz="4" w:space="0"/>
              <w:left w:val="single" w:color="auto" w:sz="4" w:space="0"/>
              <w:bottom w:val="single" w:color="auto" w:sz="4" w:space="0"/>
              <w:right w:val="single" w:color="auto" w:sz="4" w:space="0"/>
            </w:tcBorders>
          </w:tcPr>
          <w:p>
            <w:pPr>
              <w:widowControl/>
              <w:ind w:firstLine="0" w:firstLineChars="0"/>
              <w:rPr>
                <w:rFonts w:cs="宋体" w:asciiTheme="minorEastAsia" w:hAnsiTheme="minorEastAsia"/>
                <w:kern w:val="0"/>
                <w:szCs w:val="21"/>
              </w:rPr>
            </w:pPr>
            <w:r>
              <w:rPr>
                <w:rFonts w:hint="eastAsia" w:cs="宋体" w:asciiTheme="minorEastAsia" w:hAnsiTheme="minorEastAsia"/>
                <w:kern w:val="0"/>
                <w:szCs w:val="21"/>
              </w:rPr>
              <w:t>故一般不会缺乏，</w:t>
            </w:r>
            <w:r>
              <w:rPr>
                <w:rFonts w:hint="eastAsia" w:cs="宋体" w:asciiTheme="minorEastAsia" w:hAnsiTheme="minorEastAsia"/>
                <w:color w:val="FF0000"/>
                <w:kern w:val="0"/>
                <w:szCs w:val="21"/>
              </w:rPr>
              <w:t>但脂质吸收障碍或长期使用抗生素可能引起维生素K缺乏。</w:t>
            </w:r>
          </w:p>
        </w:tc>
      </w:tr>
    </w:tbl>
    <w:p>
      <w:bookmarkStart w:id="0" w:name="_GoBack"/>
      <w:bookmarkEnd w:id="0"/>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MingLiU">
    <w:panose1 w:val="02020509000000000000"/>
    <w:charset w:val="88"/>
    <w:family w:val="moder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jc w:val="center"/>
    </w:pPr>
    <w:r>
      <w:t>www.med66.com</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jc w:val="both"/>
    </w:pPr>
    <w:r>
      <w:pict>
        <v:shape id="WordPictureWatermark18629875" o:spid="_x0000_s2051" o:spt="75" type="#_x0000_t75" style="position:absolute;left:0pt;height:587.05pt;width:415.15pt;mso-position-horizontal:center;mso-position-horizontal-relative:margin;mso-position-vertical:center;mso-position-vertical-relative:margin;z-index:-251656192;mso-width-relative:page;mso-height-relative:page;" filled="f" o:preferrelative="t" stroked="f" coordsize="21600,21600" o:allowincell="f">
          <v:path/>
          <v:fill on="f" focussize="0,0"/>
          <v:stroke on="f" joinstyle="miter"/>
          <v:imagedata r:id="rId1" o:title="水印word"/>
          <o:lock v:ext="edit" aspectratio="t"/>
        </v:shape>
      </w:pict>
    </w:r>
    <w:r>
      <w:drawing>
        <wp:inline distT="0" distB="0" distL="0" distR="0">
          <wp:extent cx="1219200" cy="320675"/>
          <wp:effectExtent l="19050" t="0" r="0" b="0"/>
          <wp:docPr id="1" name="图片 0" descr="广告水印.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0" descr="广告水印.png"/>
                  <pic:cNvPicPr>
                    <a:picLocks noChangeAspect="1"/>
                  </pic:cNvPicPr>
                </pic:nvPicPr>
                <pic:blipFill>
                  <a:blip r:embed="rId2"/>
                  <a:stretch>
                    <a:fillRect/>
                  </a:stretch>
                </pic:blipFill>
                <pic:spPr>
                  <a:xfrm>
                    <a:off x="0" y="0"/>
                    <a:ext cx="1219200" cy="320842"/>
                  </a:xfrm>
                  <a:prstGeom prst="rect">
                    <a:avLst/>
                  </a:prstGeom>
                </pic:spPr>
              </pic:pic>
            </a:graphicData>
          </a:graphic>
        </wp:inline>
      </w:drawing>
    </w:r>
    <w:r>
      <w:rPr>
        <w:rFonts w:hint="eastAsia"/>
      </w:rPr>
      <w:t>19年临床医师讨论：431635329，微信公众号：yishi_med66，客服电话010-82311666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4" o:spid="_x0000_s2050" o:spt="75" type="#_x0000_t75" style="position:absolute;left:0pt;height:587.05pt;width:415.15pt;mso-position-horizontal:center;mso-position-horizontal-relative:margin;mso-position-vertical:center;mso-position-vertical-relative:margin;z-index:-251657216;mso-width-relative:page;mso-height-relative:page;" filled="f" o:preferrelative="t" stroked="f" coordsize="21600,21600" o:allowincell="f">
          <v:path/>
          <v:fill on="f" focussize="0,0"/>
          <v:stroke on="f" joinstyle="miter"/>
          <v:imagedata r:id="rId1" o:title="水印word"/>
          <o:lock v:ext="edit" aspectratio="t"/>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ind w:firstLine="360"/>
    </w:pPr>
    <w:r>
      <w:pict>
        <v:shape id="WordPictureWatermark18629873" o:spid="_x0000_s2049" o:spt="75" type="#_x0000_t75" style="position:absolute;left:0pt;height:587.05pt;width:415.15pt;mso-position-horizontal:center;mso-position-horizontal-relative:margin;mso-position-vertical:center;mso-position-vertical-relative:margin;z-index:-251658240;mso-width-relative:page;mso-height-relative:page;" filled="f" o:preferrelative="t" stroked="f" coordsize="21600,21600" o:allowincell="f">
          <v:path/>
          <v:fill on="f" focussize="0,0"/>
          <v:stroke on="f" joinstyle="miter"/>
          <v:imagedata r:id="rId1" o:title="水印word"/>
          <o:lock v:ext="edit" aspectratio="t"/>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AE7838"/>
    <w:rsid w:val="00081DC1"/>
    <w:rsid w:val="001443FD"/>
    <w:rsid w:val="001507A7"/>
    <w:rsid w:val="0035677F"/>
    <w:rsid w:val="00366A59"/>
    <w:rsid w:val="00412BE5"/>
    <w:rsid w:val="00447487"/>
    <w:rsid w:val="00501136"/>
    <w:rsid w:val="00513BAE"/>
    <w:rsid w:val="00552865"/>
    <w:rsid w:val="005B660F"/>
    <w:rsid w:val="005F17DE"/>
    <w:rsid w:val="00633352"/>
    <w:rsid w:val="00660F67"/>
    <w:rsid w:val="00683BDC"/>
    <w:rsid w:val="006A1A0A"/>
    <w:rsid w:val="006D0C94"/>
    <w:rsid w:val="007015E9"/>
    <w:rsid w:val="007F254D"/>
    <w:rsid w:val="008137DA"/>
    <w:rsid w:val="0082125A"/>
    <w:rsid w:val="008B6795"/>
    <w:rsid w:val="008C256C"/>
    <w:rsid w:val="00907E4F"/>
    <w:rsid w:val="009168D7"/>
    <w:rsid w:val="00925A54"/>
    <w:rsid w:val="00926E63"/>
    <w:rsid w:val="00932AF2"/>
    <w:rsid w:val="009510BA"/>
    <w:rsid w:val="00961F95"/>
    <w:rsid w:val="00985970"/>
    <w:rsid w:val="00AC669C"/>
    <w:rsid w:val="00AE7838"/>
    <w:rsid w:val="00B33330"/>
    <w:rsid w:val="00B73D40"/>
    <w:rsid w:val="00B73FE3"/>
    <w:rsid w:val="00CF7CB0"/>
    <w:rsid w:val="00DA6986"/>
    <w:rsid w:val="00E21433"/>
    <w:rsid w:val="00E900D1"/>
    <w:rsid w:val="00EC3B9A"/>
    <w:rsid w:val="00FD3B9C"/>
    <w:rsid w:val="00FD4BC9"/>
    <w:rsid w:val="3A9230C7"/>
    <w:rsid w:val="794D02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ind w:firstLine="200" w:firstLineChars="200"/>
      <w:jc w:val="both"/>
    </w:pPr>
    <w:rPr>
      <w:rFonts w:asciiTheme="minorHAnsi" w:hAnsiTheme="minorHAnsi" w:eastAsiaTheme="minorEastAsia" w:cstheme="minorBidi"/>
      <w:kern w:val="2"/>
      <w:sz w:val="21"/>
      <w:szCs w:val="22"/>
      <w:lang w:val="en-US" w:eastAsia="zh-CN" w:bidi="ar-SA"/>
    </w:rPr>
  </w:style>
  <w:style w:type="character" w:default="1" w:styleId="8">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3"/>
    <w:semiHidden/>
    <w:unhideWhenUsed/>
    <w:qFormat/>
    <w:uiPriority w:val="99"/>
    <w:rPr>
      <w:sz w:val="18"/>
      <w:szCs w:val="18"/>
    </w:rPr>
  </w:style>
  <w:style w:type="paragraph" w:styleId="3">
    <w:name w:val="footer"/>
    <w:basedOn w:val="1"/>
    <w:link w:val="12"/>
    <w:unhideWhenUsed/>
    <w:qFormat/>
    <w:uiPriority w:val="99"/>
    <w:pPr>
      <w:tabs>
        <w:tab w:val="center" w:pos="4153"/>
        <w:tab w:val="right" w:pos="8306"/>
      </w:tabs>
      <w:snapToGrid w:val="0"/>
      <w:jc w:val="left"/>
    </w:pPr>
    <w:rPr>
      <w:sz w:val="18"/>
      <w:szCs w:val="18"/>
    </w:rPr>
  </w:style>
  <w:style w:type="paragraph" w:styleId="4">
    <w:name w:val="header"/>
    <w:basedOn w:val="1"/>
    <w:link w:val="11"/>
    <w:semiHidden/>
    <w:unhideWhenUsed/>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uiPriority w:val="99"/>
    <w:pPr>
      <w:spacing w:beforeAutospacing="1" w:afterAutospacing="1"/>
      <w:jc w:val="left"/>
    </w:pPr>
    <w:rPr>
      <w:rFonts w:cs="Times New Roman"/>
      <w:kern w:val="0"/>
      <w:sz w:val="24"/>
    </w:rPr>
  </w:style>
  <w:style w:type="table" w:styleId="7">
    <w:name w:val="Table Grid"/>
    <w:basedOn w:val="6"/>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9">
    <w:name w:val="Strong"/>
    <w:basedOn w:val="8"/>
    <w:qFormat/>
    <w:uiPriority w:val="0"/>
    <w:rPr>
      <w:b/>
    </w:rPr>
  </w:style>
  <w:style w:type="character" w:styleId="10">
    <w:name w:val="Hyperlink"/>
    <w:basedOn w:val="8"/>
    <w:qFormat/>
    <w:uiPriority w:val="0"/>
    <w:rPr>
      <w:color w:val="0000FF"/>
      <w:u w:val="single"/>
    </w:rPr>
  </w:style>
  <w:style w:type="character" w:customStyle="1" w:styleId="11">
    <w:name w:val="页眉 Char"/>
    <w:basedOn w:val="8"/>
    <w:link w:val="4"/>
    <w:semiHidden/>
    <w:qFormat/>
    <w:uiPriority w:val="99"/>
    <w:rPr>
      <w:sz w:val="18"/>
      <w:szCs w:val="18"/>
    </w:rPr>
  </w:style>
  <w:style w:type="character" w:customStyle="1" w:styleId="12">
    <w:name w:val="页脚 Char"/>
    <w:basedOn w:val="8"/>
    <w:link w:val="3"/>
    <w:uiPriority w:val="99"/>
    <w:rPr>
      <w:sz w:val="18"/>
      <w:szCs w:val="18"/>
    </w:rPr>
  </w:style>
  <w:style w:type="character" w:customStyle="1" w:styleId="13">
    <w:name w:val="批注框文本 Char"/>
    <w:basedOn w:val="8"/>
    <w:link w:val="2"/>
    <w:semiHidden/>
    <w:qFormat/>
    <w:uiPriority w:val="99"/>
    <w:rPr>
      <w:sz w:val="18"/>
      <w:szCs w:val="18"/>
    </w:rPr>
  </w:style>
  <w:style w:type="character" w:customStyle="1" w:styleId="14">
    <w:name w:val="time3"/>
    <w:basedOn w:val="8"/>
    <w:qFormat/>
    <w:uiPriority w:val="0"/>
  </w:style>
  <w:style w:type="paragraph" w:customStyle="1" w:styleId="15">
    <w:name w:val="Default"/>
    <w:basedOn w:val="1"/>
    <w:uiPriority w:val="0"/>
    <w:pPr>
      <w:autoSpaceDE w:val="0"/>
      <w:autoSpaceDN w:val="0"/>
      <w:adjustRightInd w:val="0"/>
      <w:ind w:firstLine="0" w:firstLineChars="0"/>
      <w:jc w:val="left"/>
    </w:pPr>
    <w:rPr>
      <w:rFonts w:ascii="MingLiU" w:hAnsi="Calibri" w:eastAsia="MingLiU" w:cs="宋体"/>
      <w:color w:val="000000"/>
      <w:kern w:val="0"/>
      <w:sz w:val="24"/>
      <w:szCs w:val="24"/>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51"/>
    <customShpInfo spid="_x0000_s2050"/>
    <customShpInfo spid="_x0000_s204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3</Pages>
  <Words>267</Words>
  <Characters>1525</Characters>
  <Lines>12</Lines>
  <Paragraphs>3</Paragraphs>
  <TotalTime>0</TotalTime>
  <ScaleCrop>false</ScaleCrop>
  <LinksUpToDate>false</LinksUpToDate>
  <CharactersWithSpaces>1789</CharactersWithSpaces>
  <Application>WPS Office_11.1.0.9305_F1E327BC-269C-435d-A152-05C5408002CA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2019-12-05T02:03:00Z</dcterms:created>
  <dc:creator>DELL</dc:creator>
  <cp:lastModifiedBy>dell</cp:lastModifiedBy>
  <cp:lastPrinted>2018-12-12T03:32:00Z</cp:lastPrinted>
  <dcterms:modified xsi:type="dcterms:W3CDTF">2019-12-05T02:39:52Z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