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5154" w:type="pct"/>
        <w:tblInd w:w="0" w:type="dxa"/>
        <w:tblLayout w:type="autofit"/>
        <w:tblCellMar>
          <w:top w:w="0" w:type="dxa"/>
          <w:left w:w="108" w:type="dxa"/>
          <w:bottom w:w="0" w:type="dxa"/>
          <w:right w:w="108" w:type="dxa"/>
        </w:tblCellMar>
      </w:tblPr>
      <w:tblGrid>
        <w:gridCol w:w="1499"/>
        <w:gridCol w:w="3457"/>
        <w:gridCol w:w="3828"/>
      </w:tblGrid>
      <w:tr>
        <w:tblPrEx>
          <w:tblCellMar>
            <w:top w:w="0" w:type="dxa"/>
            <w:left w:w="108" w:type="dxa"/>
            <w:bottom w:w="0" w:type="dxa"/>
            <w:right w:w="108" w:type="dxa"/>
          </w:tblCellMar>
        </w:tblPrEx>
        <w:trPr>
          <w:trHeight w:val="54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页码（2020）</w:t>
            </w:r>
          </w:p>
        </w:tc>
        <w:tc>
          <w:tcPr>
            <w:tcW w:w="1935"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201</w:t>
            </w:r>
            <w:r>
              <w:rPr>
                <w:rFonts w:cs="宋体" w:asciiTheme="minorEastAsia" w:hAnsiTheme="minorEastAsia"/>
                <w:color w:val="000000"/>
                <w:kern w:val="0"/>
                <w:szCs w:val="21"/>
              </w:rPr>
              <w:t>9</w:t>
            </w:r>
            <w:r>
              <w:rPr>
                <w:rFonts w:hint="eastAsia" w:cs="宋体" w:asciiTheme="minorEastAsia" w:hAnsiTheme="minorEastAsia"/>
                <w:color w:val="000000"/>
                <w:kern w:val="0"/>
                <w:szCs w:val="21"/>
              </w:rPr>
              <w:t>年指南</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w:t>
            </w:r>
            <w:r>
              <w:rPr>
                <w:rFonts w:cs="宋体" w:asciiTheme="minorEastAsia" w:hAnsiTheme="minorEastAsia"/>
                <w:color w:val="000000"/>
                <w:kern w:val="0"/>
                <w:szCs w:val="21"/>
              </w:rPr>
              <w:t>20</w:t>
            </w:r>
            <w:r>
              <w:rPr>
                <w:rFonts w:hint="eastAsia" w:cs="宋体" w:asciiTheme="minorEastAsia" w:hAnsiTheme="minorEastAsia"/>
                <w:color w:val="000000"/>
                <w:kern w:val="0"/>
                <w:szCs w:val="21"/>
              </w:rPr>
              <w:t>年指南</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319</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新增“和良好的社会适应状态”</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319</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世界卫生组织的一项调査表明，人群中处于亚健康状态者约占75%。中年人是亚健康的髙发人群。</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319</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新增“或社会因素”</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321</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身心疾病</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心身疾病</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321</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FF0000"/>
                <w:kern w:val="0"/>
                <w:szCs w:val="21"/>
              </w:rPr>
              <w:t>和（或）</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和/或</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注：本章统一变动，在其他处不再注明</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321</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肾功能衰竭</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肾衰竭</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FF0000"/>
                <w:kern w:val="0"/>
                <w:szCs w:val="21"/>
              </w:rPr>
              <w:t>注：本章统一变动，在其他处不再注明</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321</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完成康复</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完全康复</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322</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成人</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成年男性</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322</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新增“机体内环境指的是细胞外液”</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322</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Na</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-K</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-ATP</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Na</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，K</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-ATP</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FF0000"/>
                <w:kern w:val="0"/>
                <w:szCs w:val="21"/>
              </w:rPr>
              <w:t>注：本章统一变动，在其他处不再注明</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323</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血清Na</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浓度&lt;130mmol/L</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血清Na</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浓度&lt;135mmol/L</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324</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血清Na</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浓度&lt;130mmol/L</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血清Na</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浓度&lt;135mmol/L</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324</w:t>
            </w:r>
          </w:p>
        </w:tc>
        <w:tc>
          <w:tcPr>
            <w:tcW w:w="1935" w:type="pct"/>
            <w:tcBorders>
              <w:top w:val="single" w:color="auto" w:sz="4" w:space="0"/>
              <w:left w:val="single" w:color="auto" w:sz="4" w:space="0"/>
              <w:bottom w:val="single" w:color="auto" w:sz="4" w:space="0"/>
              <w:right w:val="single" w:color="auto" w:sz="4" w:space="0"/>
            </w:tcBorders>
          </w:tcPr>
          <w:p>
            <w:pPr>
              <w:pStyle w:val="15"/>
              <w:widowControl/>
              <w:autoSpaceDE/>
              <w:autoSpaceDN/>
              <w:adjustRightInd/>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血白蛋白</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血浆白蛋白</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324</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视乳头水肿</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视神经乳头水肿</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324</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血清Na</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浓度&lt;130mmol/L</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血清Na</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浓度&lt;135mmol/L</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325</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500/100ml</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细胞数少于100×10</w:t>
            </w:r>
            <w:r>
              <w:rPr>
                <w:rFonts w:hint="eastAsia" w:cs="宋体" w:asciiTheme="minorEastAsia" w:hAnsiTheme="minorEastAsia"/>
                <w:color w:val="000000"/>
                <w:kern w:val="0"/>
                <w:szCs w:val="21"/>
                <w:vertAlign w:val="superscript"/>
              </w:rPr>
              <w:t>6</w:t>
            </w:r>
            <w:r>
              <w:rPr>
                <w:rFonts w:hint="eastAsia" w:cs="宋体" w:asciiTheme="minorEastAsia" w:hAnsiTheme="minorEastAsia"/>
                <w:color w:val="000000"/>
                <w:kern w:val="0"/>
                <w:szCs w:val="21"/>
              </w:rPr>
              <w:t>/L</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325</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新增“细胞数大于500×10</w:t>
            </w:r>
            <w:r>
              <w:rPr>
                <w:rFonts w:hint="eastAsia" w:cs="宋体" w:asciiTheme="minorEastAsia" w:hAnsiTheme="minorEastAsia"/>
                <w:color w:val="000000"/>
                <w:kern w:val="0"/>
                <w:szCs w:val="21"/>
                <w:vertAlign w:val="superscript"/>
              </w:rPr>
              <w:t>6</w:t>
            </w:r>
            <w:r>
              <w:rPr>
                <w:rFonts w:hint="eastAsia" w:cs="宋体" w:asciiTheme="minorEastAsia" w:hAnsiTheme="minorEastAsia"/>
                <w:color w:val="000000"/>
                <w:kern w:val="0"/>
                <w:szCs w:val="21"/>
              </w:rPr>
              <w:t>/L”</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326</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是</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327</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阻断剂</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拮抗剂</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329</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12～24小时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数小时</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331</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乙酰胆碱酯酶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胆碱酯酶</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331</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肾性佝偻病</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佝偻病</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332</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临床称为肺性脑病</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333</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革兰</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革兰氏</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FF0000"/>
                <w:kern w:val="0"/>
                <w:szCs w:val="21"/>
              </w:rPr>
              <w:t>注：本章统一变动，在其他处不再注明</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334</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血浆</w:t>
            </w:r>
            <w:r>
              <w:drawing>
                <wp:inline distT="0" distB="0" distL="0" distR="0">
                  <wp:extent cx="449580" cy="175260"/>
                  <wp:effectExtent l="0" t="0" r="762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49580" cy="175260"/>
                          </a:xfrm>
                          <a:prstGeom prst="rect">
                            <a:avLst/>
                          </a:prstGeom>
                        </pic:spPr>
                      </pic:pic>
                    </a:graphicData>
                  </a:graphic>
                </wp:inline>
              </w:drawing>
            </w:r>
            <w:r>
              <w:rPr>
                <w:rFonts w:hint="eastAsia" w:cs="宋体" w:asciiTheme="minorEastAsia" w:hAnsiTheme="minorEastAsia"/>
                <w:color w:val="000000"/>
                <w:kern w:val="0"/>
                <w:szCs w:val="21"/>
              </w:rPr>
              <w:t>相对增高，H</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从细胞内移出至细胞外并与</w:t>
            </w:r>
            <w:r>
              <w:drawing>
                <wp:inline distT="0" distB="0" distL="0" distR="0">
                  <wp:extent cx="449580" cy="175260"/>
                  <wp:effectExtent l="0" t="0" r="762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49580" cy="175260"/>
                          </a:xfrm>
                          <a:prstGeom prst="rect">
                            <a:avLst/>
                          </a:prstGeom>
                        </pic:spPr>
                      </pic:pic>
                    </a:graphicData>
                  </a:graphic>
                </wp:inline>
              </w:drawing>
            </w:r>
            <w:r>
              <w:rPr>
                <w:rFonts w:hint="eastAsia" w:cs="宋体" w:asciiTheme="minorEastAsia" w:hAnsiTheme="minorEastAsia"/>
                <w:color w:val="000000"/>
                <w:kern w:val="0"/>
                <w:szCs w:val="21"/>
              </w:rPr>
              <w:t>结合</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H</w:t>
            </w:r>
            <w:r>
              <w:rPr>
                <w:rFonts w:hint="eastAsia" w:cs="宋体" w:asciiTheme="minorEastAsia" w:hAnsiTheme="minorEastAsia"/>
                <w:color w:val="000000"/>
                <w:kern w:val="0"/>
                <w:szCs w:val="21"/>
                <w:vertAlign w:val="superscript"/>
              </w:rPr>
              <w:t>+</w:t>
            </w:r>
            <w:r>
              <w:rPr>
                <w:rFonts w:hint="eastAsia" w:cs="宋体" w:asciiTheme="minorEastAsia" w:hAnsiTheme="minorEastAsia"/>
                <w:color w:val="000000"/>
                <w:kern w:val="0"/>
                <w:szCs w:val="21"/>
              </w:rPr>
              <w:t>从细胞内移出至细胞外并与</w:t>
            </w:r>
            <w:r>
              <w:drawing>
                <wp:inline distT="0" distB="0" distL="0" distR="0">
                  <wp:extent cx="441960" cy="205740"/>
                  <wp:effectExtent l="0" t="0" r="1524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41960" cy="205740"/>
                          </a:xfrm>
                          <a:prstGeom prst="rect">
                            <a:avLst/>
                          </a:prstGeom>
                        </pic:spPr>
                      </pic:pic>
                    </a:graphicData>
                  </a:graphic>
                </wp:inline>
              </w:drawing>
            </w:r>
            <w:r>
              <w:rPr>
                <w:rFonts w:hint="eastAsia" w:cs="宋体" w:asciiTheme="minorEastAsia" w:hAnsiTheme="minorEastAsia"/>
                <w:color w:val="000000"/>
                <w:kern w:val="0"/>
                <w:szCs w:val="21"/>
              </w:rPr>
              <w:t>结合</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337</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是临床最常见</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亦是临床常见</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337</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例如,到达3000m髙原12小时后，脑血流量可增加33%。</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338</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在人及牛、犬、猪等多种动物普遍存在，其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339</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(fever)</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(endogenous pyrogen，EP)</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(exogenouspyrogen)</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Endotoxin</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lipopolysaccharide</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均删除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340</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本页所有英文全写</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均删除</w:t>
            </w:r>
          </w:p>
        </w:tc>
      </w:tr>
      <w:tr>
        <w:tblPrEx>
          <w:tblCellMar>
            <w:top w:w="0" w:type="dxa"/>
            <w:left w:w="108" w:type="dxa"/>
            <w:bottom w:w="0" w:type="dxa"/>
            <w:right w:w="108" w:type="dxa"/>
          </w:tblCellMar>
        </w:tblPrEx>
        <w:trPr>
          <w:trHeight w:val="765" w:hRule="atLeast"/>
        </w:trPr>
        <w:tc>
          <w:tcPr>
            <w:tcW w:w="870"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340</w:t>
            </w:r>
          </w:p>
        </w:tc>
        <w:tc>
          <w:tcPr>
            <w:tcW w:w="193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IL-1不耐热，</w:t>
            </w:r>
            <w:r>
              <w:drawing>
                <wp:inline distT="0" distB="0" distL="0" distR="0">
                  <wp:extent cx="335280" cy="175260"/>
                  <wp:effectExtent l="0" t="0" r="7620" b="152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335280" cy="175260"/>
                          </a:xfrm>
                          <a:prstGeom prst="rect">
                            <a:avLst/>
                          </a:prstGeom>
                        </pic:spPr>
                      </pic:pic>
                    </a:graphicData>
                  </a:graphic>
                </wp:inline>
              </w:drawing>
            </w:r>
            <w:r>
              <w:rPr>
                <w:rFonts w:hint="eastAsia" w:cs="宋体" w:asciiTheme="minorEastAsia" w:hAnsiTheme="minorEastAsia"/>
                <w:color w:val="000000"/>
                <w:kern w:val="0"/>
                <w:szCs w:val="21"/>
              </w:rPr>
              <w:t>30分钟即丧失</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活性</w:t>
            </w:r>
          </w:p>
        </w:tc>
        <w:tc>
          <w:tcPr>
            <w:tcW w:w="219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765" w:hRule="atLeast"/>
        </w:trPr>
        <w:tc>
          <w:tcPr>
            <w:tcW w:w="870"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340</w:t>
            </w:r>
          </w:p>
        </w:tc>
        <w:tc>
          <w:tcPr>
            <w:tcW w:w="193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IFN不耐热,</w:t>
            </w:r>
            <w:r>
              <w:drawing>
                <wp:inline distT="0" distB="0" distL="0" distR="0">
                  <wp:extent cx="350520" cy="160020"/>
                  <wp:effectExtent l="0" t="0" r="11430"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350520" cy="160020"/>
                          </a:xfrm>
                          <a:prstGeom prst="rect">
                            <a:avLst/>
                          </a:prstGeom>
                        </pic:spPr>
                      </pic:pic>
                    </a:graphicData>
                  </a:graphic>
                </wp:inline>
              </w:drawing>
            </w:r>
            <w:r>
              <w:rPr>
                <w:rFonts w:hint="eastAsia" w:cs="宋体" w:asciiTheme="minorEastAsia" w:hAnsiTheme="minorEastAsia"/>
                <w:color w:val="000000"/>
                <w:kern w:val="0"/>
                <w:szCs w:val="21"/>
              </w:rPr>
              <w:t>40分钟可灭活。</w:t>
            </w:r>
          </w:p>
        </w:tc>
        <w:tc>
          <w:tcPr>
            <w:tcW w:w="219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340</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ascii="宋体" w:hAnsi="宋体"/>
                <w:kern w:val="0"/>
                <w:szCs w:val="21"/>
              </w:rPr>
            </w:pPr>
            <w:r>
              <w:drawing>
                <wp:inline distT="0" distB="0" distL="0" distR="0">
                  <wp:extent cx="1516380" cy="19050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516380" cy="190500"/>
                          </a:xfrm>
                          <a:prstGeom prst="rect">
                            <a:avLst/>
                          </a:prstGeom>
                        </pic:spPr>
                      </pic:pic>
                    </a:graphicData>
                  </a:graphic>
                </wp:inline>
              </w:drawing>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drawing>
                <wp:inline distT="0" distB="0" distL="0" distR="0">
                  <wp:extent cx="525780" cy="182880"/>
                  <wp:effectExtent l="0" t="0" r="762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525780" cy="182880"/>
                          </a:xfrm>
                          <a:prstGeom prst="rect">
                            <a:avLst/>
                          </a:prstGeom>
                        </pic:spPr>
                      </pic:pic>
                    </a:graphicData>
                  </a:graphic>
                </wp:inline>
              </w:drawing>
            </w:r>
            <w:r>
              <w:drawing>
                <wp:inline distT="0" distB="0" distL="0" distR="0">
                  <wp:extent cx="1158240" cy="220980"/>
                  <wp:effectExtent l="0" t="0" r="381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158240" cy="220980"/>
                          </a:xfrm>
                          <a:prstGeom prst="rect">
                            <a:avLst/>
                          </a:prstGeom>
                        </pic:spPr>
                      </pic:pic>
                    </a:graphicData>
                  </a:graphic>
                </wp:inline>
              </w:drawing>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341</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eastAsia="宋体" w:cs="宋体"/>
                <w:color w:val="FF0000"/>
              </w:rPr>
            </w:pPr>
            <w:r>
              <w:rPr>
                <w:rFonts w:hint="eastAsia" w:cs="宋体" w:asciiTheme="minorEastAsia" w:hAnsiTheme="minorEastAsia"/>
                <w:color w:val="000000"/>
                <w:kern w:val="0"/>
                <w:szCs w:val="21"/>
              </w:rPr>
              <w:t>本页所有英文全写</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均删除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341</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eastAsia="宋体" w:cs="宋体"/>
              </w:rPr>
            </w:pPr>
            <w:r>
              <w:rPr>
                <w:rFonts w:hint="eastAsia" w:cs="宋体" w:asciiTheme="minorEastAsia" w:hAnsiTheme="minorEastAsia"/>
                <w:color w:val="000000"/>
                <w:kern w:val="0"/>
                <w:szCs w:val="21"/>
              </w:rPr>
              <w:t>正常调定点相适应的水平</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与正常调定点相适应的水平</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342</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eastAsia="宋体" w:cs="宋体"/>
              </w:rPr>
            </w:pPr>
            <w:r>
              <w:rPr>
                <w:rFonts w:hint="eastAsia" w:eastAsia="宋体" w:cs="宋体"/>
              </w:rPr>
              <w:t>小儿</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儿童</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342</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ascii="宋体" w:hAnsi="宋体"/>
                <w:kern w:val="0"/>
                <w:szCs w:val="21"/>
              </w:rPr>
            </w:pPr>
            <w:r>
              <w:rPr>
                <w:rFonts w:hint="eastAsia" w:ascii="宋体" w:hAnsi="宋体"/>
                <w:kern w:val="0"/>
                <w:szCs w:val="21"/>
              </w:rPr>
              <w:t>有些致病微生物对热比较敏感,一定高温可将其灭活。</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342-345</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第六节</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整节重新编写</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347</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本页英文全写</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348</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新增“通过对心脏和脑以外的非重要器官进行短暂缺血或缺氧，从而提高远隔重要器官对严重缺血或缺氧的耐受能力的现象称为远程缺血预适应”</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350</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不可逆期</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352</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变态</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超敏</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355</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左心</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左心室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355</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心脏本身的病变引起的心脏舒张和</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充盈障碍</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心脏瓣膜、心肌及心包等的病变引起的心脏舒张和充盈障碍</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356</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减轻</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增加</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358</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drawing>
                <wp:inline distT="0" distB="0" distL="0" distR="0">
                  <wp:extent cx="1043940" cy="213360"/>
                  <wp:effectExtent l="0" t="0" r="3810" b="152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043940" cy="213360"/>
                          </a:xfrm>
                          <a:prstGeom prst="rect">
                            <a:avLst/>
                          </a:prstGeom>
                        </pic:spPr>
                      </pic:pic>
                    </a:graphicData>
                  </a:graphic>
                </wp:inline>
              </w:drawing>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drawing>
                <wp:inline distT="0" distB="0" distL="0" distR="0">
                  <wp:extent cx="1143000" cy="236220"/>
                  <wp:effectExtent l="0" t="0" r="0" b="1143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1143000" cy="236220"/>
                          </a:xfrm>
                          <a:prstGeom prst="rect">
                            <a:avLst/>
                          </a:prstGeom>
                        </pic:spPr>
                      </pic:pic>
                    </a:graphicData>
                  </a:graphic>
                </wp:inline>
              </w:drawing>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358</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降低型和射血分数保留型心力衰竭</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降低的、射血分数中间范围的和射血分数保留的心力衰竭</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360</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阻断</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拮抗</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360</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第十一节　呼吸功能不全</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第十一节　肺功能不全</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360</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指在吸入气氧浓度(Fi0</w:t>
            </w:r>
            <w:r>
              <w:rPr>
                <w:rFonts w:hint="eastAsia" w:cs="宋体" w:asciiTheme="minorEastAsia" w:hAnsiTheme="minorEastAsia"/>
                <w:kern w:val="0"/>
                <w:szCs w:val="21"/>
                <w:vertAlign w:val="subscript"/>
              </w:rPr>
              <w:t>2</w:t>
            </w:r>
            <w:r>
              <w:rPr>
                <w:rFonts w:hint="eastAsia" w:cs="宋体" w:asciiTheme="minorEastAsia" w:hAnsiTheme="minorEastAsia"/>
                <w:kern w:val="0"/>
                <w:szCs w:val="21"/>
              </w:rPr>
              <w:t>) 为20%的海平面上，由于外呼吸功能严重障碍,导致</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指由于外呼吸功能严重障碍，在海平面、静息状态及呼吸空气的条件下</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362</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表7-4</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表7-3表格有调整</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362</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部分肺泡血流不足时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362</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表7-5</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表7-4表格有调整</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364</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drawing>
                <wp:inline distT="0" distB="0" distL="0" distR="0">
                  <wp:extent cx="2049780" cy="15240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2049780" cy="152400"/>
                          </a:xfrm>
                          <a:prstGeom prst="rect">
                            <a:avLst/>
                          </a:prstGeom>
                        </pic:spPr>
                      </pic:pic>
                    </a:graphicData>
                  </a:graphic>
                </wp:inline>
              </w:drawing>
            </w:r>
          </w:p>
          <w:p>
            <w:pPr>
              <w:autoSpaceDE w:val="0"/>
              <w:autoSpaceDN w:val="0"/>
              <w:adjustRightInd w:val="0"/>
              <w:ind w:firstLine="0" w:firstLineChars="0"/>
              <w:jc w:val="left"/>
              <w:rPr>
                <w:rFonts w:cs="宋体" w:asciiTheme="minorEastAsia" w:hAnsiTheme="minorEastAsia"/>
                <w:color w:val="000000"/>
                <w:kern w:val="0"/>
                <w:szCs w:val="21"/>
              </w:rPr>
            </w:pPr>
            <w:r>
              <w:drawing>
                <wp:inline distT="0" distB="0" distL="0" distR="0">
                  <wp:extent cx="1463040" cy="167640"/>
                  <wp:effectExtent l="0" t="0" r="381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a:stretch>
                            <a:fillRect/>
                          </a:stretch>
                        </pic:blipFill>
                        <pic:spPr>
                          <a:xfrm>
                            <a:off x="0" y="0"/>
                            <a:ext cx="1463040" cy="167640"/>
                          </a:xfrm>
                          <a:prstGeom prst="rect">
                            <a:avLst/>
                          </a:prstGeom>
                        </pic:spPr>
                      </pic:pic>
                    </a:graphicData>
                  </a:graphic>
                </wp:inline>
              </w:drawing>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364</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对肝性脑病的认知已超过百年,通常认为脑组织无明显结构变化，但最近研究发现，肝性脑病存在特异性神经病理学改变，脑组织主要受累细胞为星形胶质细胞。继发于急性肝功能不全的肝性脑病病理学表现为星形胶质细胞肿胀及明显的细胞毒性脑水肿，临床表现为颅内压明显增高，常有脑疝形成;而继发于慢性肝功能不全的肝性脑病病理学特征为Alzheimer II型星形胶质细胞增多症及轻度脑水肿,而其急性发作时亦有颅内压增高。</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继发于急性肝功能不全的肝性脑病病理学表现为星形胶质细胞肿胀及明显的细胞毒性脑水肿,临床表现为颅内压明显增高,常有脑疝形成；而继发于慢性肝功能不全的肝性脑病病理学特征为Alzheimer II型星形胶质细胞增多症及轻度脑水肿,而其急性发作时亦有颅内压增高</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364</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自1890年始，大量研究证明氨与肝性脑病相关。实验动物摄人含氨物质可致昏迷、死亡，其脑内氨水平增加约3倍;肝硬化患者摄'入含氮物质出现行为异常及类似于肝性脑病的症状;临床上约80%的肝性脑病患者血及脑脊液中氨水平升高，且降血氨治疗有效;针对肝硬化腹水患者采用阳离子交换树脂降腹水过程中，由于树脂吸收钠盐而释放铵离子，患者形成间歇性脑病。这些研究结果为氨中毒学说的确立提供了充分的依据。</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大量研究证明氨与肝性脑病相关。临床上约80% 的肝性脑病患者血及脑脊液中氨水平升高,且降血氨治疗有效。</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366</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(4 )氨对线粒体的影响:氨增髙可导致位于线粒体内膜的膜通透转换孔开放，线粒体跨膜电位下降或消失,线粒体肿胀，能量代谢障碍及大量氧自由基生成等。</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366</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本页英文全写</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366</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假性神经递质学说的建立主要依据两个方面:第一,肝性脑病患者脑内多巴胺、去甲肾上腺素等神经递质减少。第二,应用左旋多巴可以明显改善肝性脑病患者的状况。左旋多巴可进入脑内,在脑内转变成多巴胺和去甲肾上腺素，使正常神经递质增多,并与假性神经递质竞争，使神经传导功能恢复,促进患者苏醒。</w:t>
            </w:r>
          </w:p>
        </w:tc>
        <w:tc>
          <w:tcPr>
            <w:tcW w:w="219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366</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门-体</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门体</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367</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GABA学说建立的基础是因GABA能神经元抑制性活动增强。GABA能神经元活动增强可能与脑内GABA浓度增加、GABA-A受体复合物完整性及其与配体的结合能力变化,以及内源性GABA-A受体变构调节物质浓度增加等有关^ 早期GABA学说认为,肝功能不全时，血浆中GABA累积增加，血脑屏障通透性增高,GABA人脑增多参与了肝性脑病的发生发展。但最近大量研究表明,脑内GABA、内源性苯二氮罩类物质并不增加，同时GABA-A受体复合物完整性也未发生变化。因而，解释肝性脑病时GABA'能神经元抑制性活动增强目前更多基于GABA-A受体复合物与配体的结合能力变化以及内源性GABA-A受体变构调节物质增加等方面。</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367</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新增“尽管ARF概念明确,但缺乏统一的诊断标准。2005年国际肾脏病学界和急救医学界提出了急性肾损伤(AKI)的概念，建议将ARF更名为AKI。AKI是指多种病因引起的肾功能快速下降而出现的临床综合征。AKI的诊断标准设定为:肾功能在48小时以内突然减退,血清肌酐绝对值升高</w:t>
            </w:r>
            <w:r>
              <w:drawing>
                <wp:inline distT="0" distB="0" distL="0" distR="0">
                  <wp:extent cx="175260" cy="137160"/>
                  <wp:effectExtent l="0" t="0" r="15240" b="152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75260" cy="137160"/>
                          </a:xfrm>
                          <a:prstGeom prst="rect">
                            <a:avLst/>
                          </a:prstGeom>
                        </pic:spPr>
                      </pic:pic>
                    </a:graphicData>
                  </a:graphic>
                </wp:inline>
              </w:drawing>
            </w:r>
            <w:r>
              <w:rPr>
                <w:rFonts w:hint="eastAsia" w:cs="宋体" w:asciiTheme="minorEastAsia" w:hAnsiTheme="minorEastAsia"/>
                <w:color w:val="000000"/>
                <w:kern w:val="0"/>
                <w:szCs w:val="21"/>
              </w:rPr>
              <w:t xml:space="preserve"> 0.3mg/dl，或7天内血清肌酐增至</w:t>
            </w:r>
            <w:r>
              <w:drawing>
                <wp:inline distT="0" distB="0" distL="0" distR="0">
                  <wp:extent cx="175260" cy="137160"/>
                  <wp:effectExtent l="0" t="0" r="15240" b="152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1"/>
                          <a:stretch>
                            <a:fillRect/>
                          </a:stretch>
                        </pic:blipFill>
                        <pic:spPr>
                          <a:xfrm>
                            <a:off x="0" y="0"/>
                            <a:ext cx="175260" cy="137160"/>
                          </a:xfrm>
                          <a:prstGeom prst="rect">
                            <a:avLst/>
                          </a:prstGeom>
                        </pic:spPr>
                      </pic:pic>
                    </a:graphicData>
                  </a:graphic>
                </wp:inline>
              </w:drawing>
            </w:r>
            <w:r>
              <w:rPr>
                <w:rFonts w:hint="eastAsia" w:cs="宋体" w:asciiTheme="minorEastAsia" w:hAnsiTheme="minorEastAsia"/>
                <w:color w:val="000000"/>
                <w:kern w:val="0"/>
                <w:szCs w:val="21"/>
              </w:rPr>
              <w:t xml:space="preserve"> 1.5倍基础值，或尿量&lt;0.5ml/(kg • h)持续&gt;6小时。”</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369</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单个肾单位</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肾单位</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369</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kern w:val="0"/>
                <w:szCs w:val="21"/>
              </w:rPr>
              <w:t>50％</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下降</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370</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表7-6</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表7-5有变动</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370</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新增“2002年美国肾脏病基金会定义了慢性肾脏病（chronic kidney disease,CKD) 0 CKD是指肾•脏损害和/或GFR下降&lt;60ml/(min• 1. 73m</w:t>
            </w:r>
            <w:r>
              <w:rPr>
                <w:rFonts w:hint="eastAsia" w:cs="宋体" w:asciiTheme="minorEastAsia" w:hAnsiTheme="minorEastAsia"/>
                <w:color w:val="000000"/>
                <w:kern w:val="0"/>
                <w:szCs w:val="21"/>
                <w:vertAlign w:val="superscript"/>
              </w:rPr>
              <w:t>2</w:t>
            </w:r>
            <w:r>
              <w:rPr>
                <w:rFonts w:hint="eastAsia" w:cs="宋体" w:asciiTheme="minorEastAsia" w:hAnsiTheme="minorEastAsia"/>
                <w:color w:val="000000"/>
                <w:kern w:val="0"/>
                <w:szCs w:val="21"/>
              </w:rPr>
              <w:t>)持续3个月以上,其中肾脏损害是指肾脏结构和功能异常，包括肾脏影像”</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373</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局部钙、磷乘积可大于70而形成局部钙结节</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形成局部钙结节</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373</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转化酶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转换酶</w:t>
            </w:r>
          </w:p>
        </w:tc>
      </w:tr>
    </w:tbl>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t>www.med66.com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both"/>
    </w:pPr>
    <w:r>
      <w:pict>
        <v:shape id="WordPictureWatermark18629875" o:spid="_x0000_s2051" o:spt="75" type="#_x0000_t75" style="position:absolute;left:0pt;height:587.05pt;width:415.1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word"/>
          <o:lock v:ext="edit" aspectratio="t"/>
        </v:shape>
      </w:pict>
    </w:r>
    <w: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Pr>
        <w:rFonts w:hint="eastAsia"/>
      </w:rPr>
      <w:t>20年临床医师讨论：431635329，微信公众号：yishi_med66，客服电话010-82311666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4" o:spid="_x0000_s2050" o:spt="75" type="#_x0000_t75" style="position:absolute;left:0pt;height:587.05pt;width:415.1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word"/>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3" o:spid="_x0000_s2049" o:spt="75" type="#_x0000_t75" style="position:absolute;left:0pt;height:587.05pt;width:415.1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word"/>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E7838"/>
    <w:rsid w:val="00055D20"/>
    <w:rsid w:val="00081DC1"/>
    <w:rsid w:val="000D1B60"/>
    <w:rsid w:val="001443FD"/>
    <w:rsid w:val="001507A7"/>
    <w:rsid w:val="002B793F"/>
    <w:rsid w:val="002E4466"/>
    <w:rsid w:val="0035677F"/>
    <w:rsid w:val="00366A59"/>
    <w:rsid w:val="004048C5"/>
    <w:rsid w:val="00412BE5"/>
    <w:rsid w:val="00447487"/>
    <w:rsid w:val="004B3E02"/>
    <w:rsid w:val="00501136"/>
    <w:rsid w:val="00513BAE"/>
    <w:rsid w:val="00546F7B"/>
    <w:rsid w:val="00552865"/>
    <w:rsid w:val="00563201"/>
    <w:rsid w:val="005B660F"/>
    <w:rsid w:val="005D08EA"/>
    <w:rsid w:val="005F17DE"/>
    <w:rsid w:val="006072C7"/>
    <w:rsid w:val="00633352"/>
    <w:rsid w:val="00660F67"/>
    <w:rsid w:val="00683BDC"/>
    <w:rsid w:val="006A1A0A"/>
    <w:rsid w:val="006D0C94"/>
    <w:rsid w:val="006D7005"/>
    <w:rsid w:val="007015E9"/>
    <w:rsid w:val="007324A4"/>
    <w:rsid w:val="007862BF"/>
    <w:rsid w:val="007D1392"/>
    <w:rsid w:val="007F254D"/>
    <w:rsid w:val="008137DA"/>
    <w:rsid w:val="0082125A"/>
    <w:rsid w:val="008B6795"/>
    <w:rsid w:val="008C256C"/>
    <w:rsid w:val="00907E4F"/>
    <w:rsid w:val="009168D7"/>
    <w:rsid w:val="00925A54"/>
    <w:rsid w:val="00926E63"/>
    <w:rsid w:val="00930C37"/>
    <w:rsid w:val="00932AF2"/>
    <w:rsid w:val="00946DC3"/>
    <w:rsid w:val="009510BA"/>
    <w:rsid w:val="00961F95"/>
    <w:rsid w:val="00963B47"/>
    <w:rsid w:val="00971635"/>
    <w:rsid w:val="00985970"/>
    <w:rsid w:val="00AC669C"/>
    <w:rsid w:val="00AE7838"/>
    <w:rsid w:val="00B33330"/>
    <w:rsid w:val="00B73D40"/>
    <w:rsid w:val="00BE696B"/>
    <w:rsid w:val="00CF7CB0"/>
    <w:rsid w:val="00DA6986"/>
    <w:rsid w:val="00E21433"/>
    <w:rsid w:val="00E900D1"/>
    <w:rsid w:val="00EA63E4"/>
    <w:rsid w:val="00EC3B9A"/>
    <w:rsid w:val="00F5089B"/>
    <w:rsid w:val="00FD3B9C"/>
    <w:rsid w:val="00FD4BC9"/>
    <w:rsid w:val="00FD7CD2"/>
    <w:rsid w:val="3A9230C7"/>
    <w:rsid w:val="61446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spacing w:beforeAutospacing="1" w:afterAutospacing="1"/>
      <w:jc w:val="left"/>
    </w:pPr>
    <w:rPr>
      <w:rFonts w:cs="Times New Roman"/>
      <w:kern w:val="0"/>
      <w:sz w:val="24"/>
    </w:rPr>
  </w:style>
  <w:style w:type="table" w:styleId="7">
    <w:name w:val="Table Grid"/>
    <w:basedOn w:val="6"/>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批注框文本 Char"/>
    <w:basedOn w:val="8"/>
    <w:link w:val="2"/>
    <w:semiHidden/>
    <w:qFormat/>
    <w:uiPriority w:val="99"/>
    <w:rPr>
      <w:sz w:val="18"/>
      <w:szCs w:val="18"/>
    </w:rPr>
  </w:style>
  <w:style w:type="character" w:customStyle="1" w:styleId="14">
    <w:name w:val="time3"/>
    <w:basedOn w:val="8"/>
    <w:qFormat/>
    <w:uiPriority w:val="0"/>
  </w:style>
  <w:style w:type="paragraph" w:customStyle="1" w:styleId="15">
    <w:name w:val="Default"/>
    <w:basedOn w:val="1"/>
    <w:qFormat/>
    <w:uiPriority w:val="0"/>
    <w:pPr>
      <w:autoSpaceDE w:val="0"/>
      <w:autoSpaceDN w:val="0"/>
      <w:adjustRightInd w:val="0"/>
      <w:ind w:firstLine="0" w:firstLineChars="0"/>
      <w:jc w:val="left"/>
    </w:pPr>
    <w:rPr>
      <w:rFonts w:ascii="MingLiU" w:hAnsi="Calibri" w:eastAsia="MingLiU" w:cs="宋体"/>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D04E92-B41A-4FF4-898D-0E8D5F09B06C}">
  <ds:schemaRefs/>
</ds:datastoreItem>
</file>

<file path=docProps/app.xml><?xml version="1.0" encoding="utf-8"?>
<Properties xmlns="http://schemas.openxmlformats.org/officeDocument/2006/extended-properties" xmlns:vt="http://schemas.openxmlformats.org/officeDocument/2006/docPropsVTypes">
  <Template>Normal</Template>
  <Pages>5</Pages>
  <Words>279</Words>
  <Characters>1592</Characters>
  <Lines>13</Lines>
  <Paragraphs>3</Paragraphs>
  <TotalTime>0</TotalTime>
  <ScaleCrop>false</ScaleCrop>
  <LinksUpToDate>false</LinksUpToDate>
  <CharactersWithSpaces>1868</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2019-12-05T02:26:00Z</dcterms:created>
  <dc:creator>DELL</dc:creator>
  <cp:lastModifiedBy>dell</cp:lastModifiedBy>
  <cp:lastPrinted>2018-12-12T03:32:00Z</cp:lastPrinted>
  <dcterms:modified xsi:type="dcterms:W3CDTF">2019-12-05T02:43:51Z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