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840"/>
        <w:gridCol w:w="2841"/>
        <w:gridCol w:w="284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1" w:hRule="atLeast"/>
        </w:trPr>
        <w:tc>
          <w:tcPr>
            <w:tcW w:w="2840" w:type="dxa"/>
          </w:tcPr>
          <w:p>
            <w:pPr>
              <w:rPr>
                <w:sz w:val="24"/>
                <w:szCs w:val="24"/>
              </w:rPr>
            </w:pPr>
            <w:r>
              <w:rPr>
                <w:sz w:val="24"/>
                <w:szCs w:val="24"/>
              </w:rPr>
              <w:t>页码</w:t>
            </w:r>
            <w:r>
              <w:rPr>
                <w:rFonts w:hint="eastAsia"/>
                <w:sz w:val="24"/>
                <w:szCs w:val="24"/>
              </w:rPr>
              <w:t>（2020）</w:t>
            </w:r>
          </w:p>
        </w:tc>
        <w:tc>
          <w:tcPr>
            <w:tcW w:w="2841" w:type="dxa"/>
          </w:tcPr>
          <w:p>
            <w:pPr>
              <w:rPr>
                <w:sz w:val="24"/>
                <w:szCs w:val="24"/>
              </w:rPr>
            </w:pPr>
            <w:r>
              <w:rPr>
                <w:rFonts w:hint="eastAsia"/>
                <w:sz w:val="24"/>
                <w:szCs w:val="24"/>
              </w:rPr>
              <w:t>2019年</w:t>
            </w:r>
          </w:p>
        </w:tc>
        <w:tc>
          <w:tcPr>
            <w:tcW w:w="2841" w:type="dxa"/>
          </w:tcPr>
          <w:p>
            <w:pPr>
              <w:rPr>
                <w:sz w:val="24"/>
                <w:szCs w:val="24"/>
              </w:rPr>
            </w:pPr>
            <w:r>
              <w:rPr>
                <w:rFonts w:hint="eastAsia"/>
                <w:sz w:val="24"/>
                <w:szCs w:val="24"/>
              </w:rPr>
              <w:t>2020年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7" w:hRule="atLeast"/>
        </w:trPr>
        <w:tc>
          <w:tcPr>
            <w:tcW w:w="2840" w:type="dxa"/>
          </w:tcPr>
          <w:p>
            <w:pPr>
              <w:rPr>
                <w:sz w:val="24"/>
                <w:szCs w:val="24"/>
              </w:rPr>
            </w:pPr>
            <w:r>
              <w:rPr>
                <w:rFonts w:hint="eastAsia"/>
                <w:sz w:val="24"/>
                <w:szCs w:val="24"/>
              </w:rPr>
              <w:t>375</w:t>
            </w:r>
          </w:p>
        </w:tc>
        <w:tc>
          <w:tcPr>
            <w:tcW w:w="2841" w:type="dxa"/>
          </w:tcPr>
          <w:p>
            <w:pPr>
              <w:rPr>
                <w:sz w:val="24"/>
                <w:szCs w:val="24"/>
              </w:rPr>
            </w:pPr>
            <w:r>
              <w:rPr>
                <w:rFonts w:hint="eastAsia" w:ascii="宋体" w:hAnsi="宋体" w:eastAsia="宋体"/>
                <w:sz w:val="24"/>
                <w:szCs w:val="24"/>
              </w:rPr>
              <w:t>血药浓度已降至阈浓度以下时仍残存的药理效应</w:t>
            </w:r>
          </w:p>
        </w:tc>
        <w:tc>
          <w:tcPr>
            <w:tcW w:w="2841" w:type="dxa"/>
          </w:tcPr>
          <w:p>
            <w:pPr>
              <w:rPr>
                <w:rFonts w:hint="eastAsia"/>
                <w:sz w:val="24"/>
                <w:szCs w:val="24"/>
              </w:rPr>
            </w:pPr>
            <w:r>
              <w:rPr>
                <w:rFonts w:hint="eastAsia"/>
                <w:sz w:val="24"/>
                <w:szCs w:val="24"/>
              </w:rPr>
              <w:t>血药浓度已降至阈浓度（最小有效浓度）以下时</w:t>
            </w:r>
          </w:p>
          <w:p>
            <w:pPr>
              <w:rPr>
                <w:sz w:val="24"/>
                <w:szCs w:val="24"/>
              </w:rPr>
            </w:pPr>
            <w:r>
              <w:rPr>
                <w:rFonts w:hint="eastAsia"/>
                <w:sz w:val="24"/>
                <w:szCs w:val="24"/>
              </w:rPr>
              <w:t>仍残存的药理效应</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9" w:hRule="atLeast"/>
        </w:trPr>
        <w:tc>
          <w:tcPr>
            <w:tcW w:w="2840" w:type="dxa"/>
          </w:tcPr>
          <w:p>
            <w:pPr>
              <w:rPr>
                <w:sz w:val="24"/>
                <w:szCs w:val="24"/>
              </w:rPr>
            </w:pPr>
            <w:r>
              <w:rPr>
                <w:rFonts w:hint="eastAsia"/>
                <w:sz w:val="24"/>
                <w:szCs w:val="24"/>
              </w:rPr>
              <w:t>375</w:t>
            </w:r>
          </w:p>
        </w:tc>
        <w:tc>
          <w:tcPr>
            <w:tcW w:w="2841" w:type="dxa"/>
          </w:tcPr>
          <w:p>
            <w:pPr>
              <w:rPr>
                <w:sz w:val="24"/>
                <w:szCs w:val="24"/>
              </w:rPr>
            </w:pPr>
            <w:r>
              <w:rPr>
                <w:rFonts w:hint="eastAsia"/>
                <w:sz w:val="24"/>
                <w:szCs w:val="24"/>
              </w:rPr>
              <w:t>可见这是一类非常复杂的药物反应。</w:t>
            </w:r>
          </w:p>
        </w:tc>
        <w:tc>
          <w:tcPr>
            <w:tcW w:w="2841" w:type="dxa"/>
          </w:tcPr>
          <w:p>
            <w:pPr>
              <w:rPr>
                <w:sz w:val="24"/>
                <w:szCs w:val="24"/>
              </w:rPr>
            </w:pPr>
            <w:r>
              <w:rPr>
                <w:rFonts w:hint="eastAsia"/>
                <w:sz w:val="24"/>
                <w:szCs w:val="24"/>
              </w:rPr>
              <w:t>对过敏体质者或易引起过敏反应的药物均应谨慎使用。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9" w:hRule="atLeast"/>
        </w:trPr>
        <w:tc>
          <w:tcPr>
            <w:tcW w:w="2840" w:type="dxa"/>
          </w:tcPr>
          <w:p>
            <w:pPr>
              <w:rPr>
                <w:sz w:val="24"/>
                <w:szCs w:val="24"/>
              </w:rPr>
            </w:pPr>
            <w:r>
              <w:rPr>
                <w:rFonts w:hint="eastAsia"/>
                <w:sz w:val="24"/>
                <w:szCs w:val="24"/>
              </w:rPr>
              <w:t>376</w:t>
            </w:r>
          </w:p>
        </w:tc>
        <w:tc>
          <w:tcPr>
            <w:tcW w:w="2841" w:type="dxa"/>
          </w:tcPr>
          <w:p>
            <w:pPr>
              <w:rPr>
                <w:sz w:val="24"/>
                <w:szCs w:val="24"/>
              </w:rPr>
            </w:pPr>
            <w:r>
              <w:rPr>
                <w:rFonts w:hint="eastAsia"/>
                <w:sz w:val="24"/>
                <w:szCs w:val="24"/>
              </w:rPr>
              <w:t>而药物剂量和效应呈全或无（all or none)变化规律者称为质反应（quantal response）。</w:t>
            </w:r>
          </w:p>
        </w:tc>
        <w:tc>
          <w:tcPr>
            <w:tcW w:w="2841" w:type="dxa"/>
          </w:tcPr>
          <w:p>
            <w:pPr>
              <w:rPr>
                <w:sz w:val="24"/>
                <w:szCs w:val="24"/>
              </w:rPr>
            </w:pPr>
            <w:r>
              <w:rPr>
                <w:rFonts w:hint="eastAsia"/>
                <w:sz w:val="24"/>
                <w:szCs w:val="24"/>
              </w:rPr>
              <w:t>一药物效应表现为反应性质的变化称为质反应（quantal response）。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9" w:hRule="atLeast"/>
        </w:trPr>
        <w:tc>
          <w:tcPr>
            <w:tcW w:w="2840" w:type="dxa"/>
          </w:tcPr>
          <w:p>
            <w:pPr>
              <w:rPr>
                <w:sz w:val="24"/>
                <w:szCs w:val="24"/>
              </w:rPr>
            </w:pPr>
            <w:r>
              <w:rPr>
                <w:rFonts w:hint="eastAsia"/>
                <w:sz w:val="24"/>
                <w:szCs w:val="24"/>
              </w:rPr>
              <w:t>376</w:t>
            </w:r>
          </w:p>
        </w:tc>
        <w:tc>
          <w:tcPr>
            <w:tcW w:w="2841" w:type="dxa"/>
          </w:tcPr>
          <w:p>
            <w:pPr>
              <w:rPr>
                <w:sz w:val="24"/>
                <w:szCs w:val="24"/>
              </w:rPr>
            </w:pPr>
            <w:r>
              <w:rPr>
                <w:rFonts w:hint="eastAsia" w:ascii="宋体" w:hAnsi="宋体" w:eastAsia="宋体"/>
                <w:sz w:val="24"/>
                <w:szCs w:val="24"/>
              </w:rPr>
              <w:t>与激动药并用还可拮抗激动药</w:t>
            </w:r>
          </w:p>
        </w:tc>
        <w:tc>
          <w:tcPr>
            <w:tcW w:w="2841" w:type="dxa"/>
          </w:tcPr>
          <w:p>
            <w:pPr>
              <w:rPr>
                <w:sz w:val="24"/>
                <w:szCs w:val="24"/>
              </w:rPr>
            </w:pPr>
            <w:r>
              <w:rPr>
                <w:rFonts w:hint="eastAsia"/>
                <w:sz w:val="24"/>
                <w:szCs w:val="24"/>
              </w:rPr>
              <w:t>与完全激动药并用还可拮抗完全激动药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02" w:hRule="atLeast"/>
        </w:trPr>
        <w:tc>
          <w:tcPr>
            <w:tcW w:w="2840" w:type="dxa"/>
          </w:tcPr>
          <w:p>
            <w:pPr>
              <w:rPr>
                <w:sz w:val="24"/>
                <w:szCs w:val="24"/>
              </w:rPr>
            </w:pPr>
            <w:r>
              <w:rPr>
                <w:rFonts w:hint="eastAsia"/>
                <w:sz w:val="24"/>
                <w:szCs w:val="24"/>
              </w:rPr>
              <w:t>376</w:t>
            </w:r>
          </w:p>
        </w:tc>
        <w:tc>
          <w:tcPr>
            <w:tcW w:w="2841" w:type="dxa"/>
          </w:tcPr>
          <w:p>
            <w:pPr>
              <w:rPr>
                <w:sz w:val="24"/>
                <w:szCs w:val="24"/>
              </w:rPr>
            </w:pPr>
            <w:r>
              <w:rPr>
                <w:rFonts w:hint="eastAsia"/>
                <w:sz w:val="24"/>
                <w:szCs w:val="24"/>
              </w:rPr>
              <w:t>但因占据受体而拮抗激动药的效应</w:t>
            </w:r>
          </w:p>
        </w:tc>
        <w:tc>
          <w:tcPr>
            <w:tcW w:w="2841" w:type="dxa"/>
          </w:tcPr>
          <w:p>
            <w:pPr>
              <w:rPr>
                <w:sz w:val="24"/>
                <w:szCs w:val="24"/>
              </w:rPr>
            </w:pPr>
            <w:r>
              <w:rPr>
                <w:rFonts w:hint="eastAsia"/>
                <w:sz w:val="24"/>
                <w:szCs w:val="24"/>
              </w:rPr>
              <w:t>但因占据受体而拮抗激动药或内源性配体的效应</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82" w:hRule="atLeast"/>
        </w:trPr>
        <w:tc>
          <w:tcPr>
            <w:tcW w:w="2840" w:type="dxa"/>
          </w:tcPr>
          <w:p>
            <w:pPr>
              <w:rPr>
                <w:sz w:val="24"/>
                <w:szCs w:val="24"/>
              </w:rPr>
            </w:pPr>
            <w:r>
              <w:rPr>
                <w:rFonts w:hint="eastAsia"/>
                <w:sz w:val="24"/>
                <w:szCs w:val="24"/>
              </w:rPr>
              <w:t>376</w:t>
            </w:r>
          </w:p>
        </w:tc>
        <w:tc>
          <w:tcPr>
            <w:tcW w:w="2841" w:type="dxa"/>
          </w:tcPr>
          <w:p>
            <w:pPr>
              <w:rPr>
                <w:sz w:val="24"/>
                <w:szCs w:val="24"/>
              </w:rPr>
            </w:pPr>
            <w:r>
              <w:rPr>
                <w:rFonts w:hint="eastAsia" w:ascii="宋体" w:hAnsi="宋体" w:eastAsia="宋体"/>
                <w:sz w:val="24"/>
                <w:szCs w:val="24"/>
              </w:rPr>
              <w:t>某些内在活性较弱 (a&lt;l)的激动药(部分激动药),在体内由于占据受体而影响内源性递质或激动剂的作用，可表现出拮抗作用，如β受体拮抗药氧烯洛尔。</w:t>
            </w:r>
          </w:p>
        </w:tc>
        <w:tc>
          <w:tcPr>
            <w:tcW w:w="2841" w:type="dxa"/>
          </w:tcPr>
          <w:p>
            <w:pPr>
              <w:rPr>
                <w:sz w:val="24"/>
                <w:szCs w:val="24"/>
              </w:rPr>
            </w:pPr>
            <w:r>
              <w:rPr>
                <w:rFonts w:hint="eastAsia"/>
                <w:sz w:val="24"/>
                <w:szCs w:val="24"/>
              </w:rPr>
              <w:t>少数抬抗药以拮抗作用为主,同时有较弱的内在活性，故有部分激动受体作用，如具有内在拟交感活性的β受体拮抗吲哚洛尔。</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4" w:hRule="atLeast"/>
        </w:trPr>
        <w:tc>
          <w:tcPr>
            <w:tcW w:w="2840" w:type="dxa"/>
          </w:tcPr>
          <w:p>
            <w:pPr>
              <w:rPr>
                <w:sz w:val="24"/>
                <w:szCs w:val="24"/>
              </w:rPr>
            </w:pPr>
            <w:r>
              <w:rPr>
                <w:rFonts w:hint="eastAsia"/>
                <w:sz w:val="24"/>
                <w:szCs w:val="24"/>
              </w:rPr>
              <w:t>376</w:t>
            </w:r>
          </w:p>
        </w:tc>
        <w:tc>
          <w:tcPr>
            <w:tcW w:w="2841" w:type="dxa"/>
          </w:tcPr>
          <w:p>
            <w:pPr>
              <w:rPr>
                <w:sz w:val="24"/>
                <w:szCs w:val="24"/>
              </w:rPr>
            </w:pPr>
            <w:r>
              <w:rPr>
                <w:rFonts w:hint="eastAsia"/>
                <w:sz w:val="24"/>
                <w:szCs w:val="24"/>
              </w:rPr>
              <w:t>首关消除也称首过代谢(first pass metabolism)或首过效应(first pass effect)。从胃肠道吸收入门静脉系统的药</w:t>
            </w:r>
            <w:r>
              <w:rPr>
                <w:sz w:val="24"/>
                <w:szCs w:val="24"/>
              </w:rPr>
              <w:t>……</w:t>
            </w:r>
            <w:r>
              <w:rPr>
                <w:rFonts w:hint="eastAsia"/>
                <w:sz w:val="24"/>
                <w:szCs w:val="24"/>
              </w:rPr>
              <w:t>直肠给药也可在一定程度上避免。</w:t>
            </w:r>
          </w:p>
        </w:tc>
        <w:tc>
          <w:tcPr>
            <w:tcW w:w="2841" w:type="dxa"/>
          </w:tcPr>
          <w:p>
            <w:pPr>
              <w:rPr>
                <w:sz w:val="24"/>
                <w:szCs w:val="24"/>
              </w:rPr>
            </w:pPr>
            <w:r>
              <w:rPr>
                <w:rFonts w:hint="eastAsia"/>
                <w:sz w:val="24"/>
                <w:szCs w:val="24"/>
              </w:rPr>
              <w:t>首过消除也称首过代谢或首过效从胃肠道吸收的药物......直接进入全身血液循环。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75" w:hRule="atLeast"/>
        </w:trPr>
        <w:tc>
          <w:tcPr>
            <w:tcW w:w="2840" w:type="dxa"/>
          </w:tcPr>
          <w:p>
            <w:pPr>
              <w:rPr>
                <w:sz w:val="24"/>
                <w:szCs w:val="24"/>
              </w:rPr>
            </w:pPr>
            <w:r>
              <w:rPr>
                <w:rFonts w:hint="eastAsia"/>
                <w:sz w:val="24"/>
                <w:szCs w:val="24"/>
              </w:rPr>
              <w:t>376</w:t>
            </w:r>
          </w:p>
        </w:tc>
        <w:tc>
          <w:tcPr>
            <w:tcW w:w="2841" w:type="dxa"/>
          </w:tcPr>
          <w:p>
            <w:pPr>
              <w:rPr>
                <w:sz w:val="24"/>
                <w:szCs w:val="24"/>
              </w:rPr>
            </w:pPr>
            <w:r>
              <w:rPr>
                <w:rFonts w:hint="eastAsia" w:ascii="宋体" w:hAnsi="宋体" w:eastAsia="宋体"/>
                <w:sz w:val="24"/>
                <w:szCs w:val="24"/>
              </w:rPr>
              <w:t>气雾剂给药解除哮喘、直肠给药治疗结直肠炎以及局部麻醉</w:t>
            </w:r>
          </w:p>
        </w:tc>
        <w:tc>
          <w:tcPr>
            <w:tcW w:w="2841" w:type="dxa"/>
          </w:tcPr>
          <w:p>
            <w:pPr>
              <w:rPr>
                <w:sz w:val="24"/>
                <w:szCs w:val="24"/>
              </w:rPr>
            </w:pPr>
            <w:r>
              <w:rPr>
                <w:rFonts w:hint="eastAsia" w:ascii="宋体" w:hAnsi="宋体" w:eastAsia="宋体"/>
                <w:sz w:val="24"/>
                <w:szCs w:val="24"/>
              </w:rPr>
              <w:t>直肠给药治疗结直肠炎以及删除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377</w:t>
            </w:r>
          </w:p>
        </w:tc>
        <w:tc>
          <w:tcPr>
            <w:tcW w:w="2841" w:type="dxa"/>
          </w:tcPr>
          <w:p>
            <w:pPr>
              <w:rPr>
                <w:sz w:val="24"/>
                <w:szCs w:val="24"/>
              </w:rPr>
            </w:pPr>
            <w:r>
              <w:rPr>
                <w:rFonts w:hint="eastAsia" w:ascii="宋体" w:hAnsi="宋体" w:eastAsia="宋体"/>
                <w:sz w:val="24"/>
                <w:szCs w:val="24"/>
              </w:rPr>
              <w:t>弱碱性药物除了可与白蛋白结合外，还常与脂蛋白及α1-酸性糖蛋白结合</w:t>
            </w:r>
          </w:p>
        </w:tc>
        <w:tc>
          <w:tcPr>
            <w:tcW w:w="2841" w:type="dxa"/>
          </w:tcPr>
          <w:p>
            <w:pPr>
              <w:rPr>
                <w:rFonts w:hint="eastAsia"/>
                <w:sz w:val="24"/>
                <w:szCs w:val="24"/>
              </w:rPr>
            </w:pPr>
            <w:r>
              <w:rPr>
                <w:rFonts w:hint="eastAsia"/>
                <w:sz w:val="24"/>
                <w:szCs w:val="24"/>
              </w:rPr>
              <w:t>弱碱性药物主要与α1-酸性糖蛋白结合，脂溶性强的药物主要与脂蛋白结合</w:t>
            </w:r>
          </w:p>
          <w:p>
            <w:pPr>
              <w:rPr>
                <w:sz w:val="24"/>
                <w:szCs w:val="24"/>
              </w:rPr>
            </w:pPr>
            <w:r>
              <w:rPr>
                <w:rFonts w:hint="eastAsia"/>
                <w:sz w:val="24"/>
                <w:szCs w:val="24"/>
              </w:rPr>
              <w:t>此段添加（一）血浆蛋白结合率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377</w:t>
            </w:r>
          </w:p>
        </w:tc>
        <w:tc>
          <w:tcPr>
            <w:tcW w:w="2841" w:type="dxa"/>
          </w:tcPr>
          <w:p>
            <w:pPr>
              <w:rPr>
                <w:sz w:val="24"/>
                <w:szCs w:val="24"/>
              </w:rPr>
            </w:pPr>
            <w:r>
              <w:rPr>
                <w:rFonts w:hint="eastAsia"/>
                <w:sz w:val="24"/>
                <w:szCs w:val="24"/>
              </w:rPr>
              <w:t>因此，孕妇应禁用可引起畸胎或对胎儿有毒性的药物,对其他药物也应十分审慎。</w:t>
            </w:r>
          </w:p>
        </w:tc>
        <w:tc>
          <w:tcPr>
            <w:tcW w:w="2841" w:type="dxa"/>
          </w:tcPr>
          <w:p>
            <w:pPr>
              <w:rPr>
                <w:sz w:val="24"/>
                <w:szCs w:val="24"/>
              </w:rPr>
            </w:pPr>
            <w:r>
              <w:rPr>
                <w:sz w:val="24"/>
                <w:szCs w:val="24"/>
              </w:rPr>
              <w:t>因此</w:t>
            </w:r>
            <w:r>
              <w:rPr>
                <w:rFonts w:hint="eastAsia"/>
                <w:sz w:val="24"/>
                <w:szCs w:val="24"/>
              </w:rPr>
              <w:t>，</w:t>
            </w:r>
            <w:r>
              <w:rPr>
                <w:sz w:val="24"/>
                <w:szCs w:val="24"/>
              </w:rPr>
              <w:t>孕妇用药应特别谨慎</w:t>
            </w:r>
            <w:r>
              <w:rPr>
                <w:rFonts w:hint="eastAsia"/>
                <w:sz w:val="24"/>
                <w:szCs w:val="24"/>
              </w:rPr>
              <w:t>，</w:t>
            </w:r>
            <w:r>
              <w:rPr>
                <w:sz w:val="24"/>
                <w:szCs w:val="24"/>
              </w:rPr>
              <w:t>禁用可引起畸胎或对胎儿有毒性的药物</w:t>
            </w:r>
            <w:r>
              <w:rPr>
                <w:rFonts w:hint="eastAsia"/>
                <w:sz w:val="24"/>
                <w:szCs w:val="24"/>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377</w:t>
            </w:r>
          </w:p>
        </w:tc>
        <w:tc>
          <w:tcPr>
            <w:tcW w:w="2841" w:type="dxa"/>
          </w:tcPr>
          <w:p>
            <w:pPr>
              <w:spacing w:line="360" w:lineRule="auto"/>
              <w:rPr>
                <w:rFonts w:ascii="宋体" w:hAnsi="宋体" w:eastAsia="宋体"/>
                <w:sz w:val="24"/>
                <w:szCs w:val="24"/>
              </w:rPr>
            </w:pPr>
          </w:p>
        </w:tc>
        <w:tc>
          <w:tcPr>
            <w:tcW w:w="2841" w:type="dxa"/>
          </w:tcPr>
          <w:p>
            <w:pPr>
              <w:spacing w:line="360" w:lineRule="auto"/>
              <w:rPr>
                <w:rFonts w:ascii="宋体" w:hAnsi="宋体" w:eastAsia="宋体"/>
                <w:sz w:val="24"/>
                <w:szCs w:val="24"/>
              </w:rPr>
            </w:pPr>
            <w:r>
              <w:rPr>
                <w:rFonts w:ascii="宋体" w:hAnsi="宋体" w:eastAsia="宋体"/>
                <w:sz w:val="24"/>
                <w:szCs w:val="24"/>
              </w:rPr>
              <w:t>添加</w:t>
            </w:r>
            <w:r>
              <w:rPr>
                <w:rFonts w:hint="eastAsia" w:ascii="宋体" w:hAnsi="宋体" w:eastAsia="宋体"/>
                <w:sz w:val="24"/>
                <w:szCs w:val="24"/>
              </w:rPr>
              <w:t>（四）解离度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377</w:t>
            </w:r>
          </w:p>
        </w:tc>
        <w:tc>
          <w:tcPr>
            <w:tcW w:w="2841" w:type="dxa"/>
          </w:tcPr>
          <w:p>
            <w:pPr>
              <w:rPr>
                <w:sz w:val="24"/>
                <w:szCs w:val="24"/>
              </w:rPr>
            </w:pPr>
            <w:r>
              <w:rPr>
                <w:rFonts w:hint="eastAsia"/>
                <w:sz w:val="24"/>
                <w:szCs w:val="24"/>
              </w:rPr>
              <w:t>大多数活性降低，少数活性增加</w:t>
            </w:r>
          </w:p>
        </w:tc>
        <w:tc>
          <w:tcPr>
            <w:tcW w:w="2841" w:type="dxa"/>
          </w:tcPr>
          <w:p>
            <w:pPr>
              <w:rPr>
                <w:sz w:val="24"/>
                <w:szCs w:val="24"/>
              </w:rPr>
            </w:pPr>
            <w:r>
              <w:rPr>
                <w:rFonts w:hint="eastAsia"/>
                <w:sz w:val="24"/>
                <w:szCs w:val="24"/>
              </w:rPr>
              <w:t>大多数药物被灭活，少数药物被活化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377</w:t>
            </w:r>
          </w:p>
        </w:tc>
        <w:tc>
          <w:tcPr>
            <w:tcW w:w="2841" w:type="dxa"/>
          </w:tcPr>
          <w:p>
            <w:pPr>
              <w:rPr>
                <w:sz w:val="24"/>
                <w:szCs w:val="24"/>
              </w:rPr>
            </w:pPr>
            <w:r>
              <w:rPr>
                <w:rFonts w:hint="eastAsia" w:ascii="宋体" w:hAnsi="宋体" w:eastAsia="宋体"/>
                <w:sz w:val="24"/>
                <w:szCs w:val="24"/>
              </w:rPr>
              <w:t>药-时曲线的下降部分呈曲线</w:t>
            </w:r>
          </w:p>
        </w:tc>
        <w:tc>
          <w:tcPr>
            <w:tcW w:w="2841" w:type="dxa"/>
          </w:tcPr>
          <w:p>
            <w:pPr>
              <w:rPr>
                <w:sz w:val="24"/>
                <w:szCs w:val="24"/>
              </w:rPr>
            </w:pPr>
            <w:r>
              <w:rPr>
                <w:rFonts w:hint="eastAsia" w:ascii="宋体" w:hAnsi="宋体" w:eastAsia="宋体"/>
                <w:sz w:val="24"/>
                <w:szCs w:val="24"/>
              </w:rPr>
              <w:t>药-时曲线呈曲线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378</w:t>
            </w:r>
          </w:p>
        </w:tc>
        <w:tc>
          <w:tcPr>
            <w:tcW w:w="2841" w:type="dxa"/>
          </w:tcPr>
          <w:p>
            <w:pPr>
              <w:rPr>
                <w:sz w:val="24"/>
                <w:szCs w:val="24"/>
              </w:rPr>
            </w:pPr>
          </w:p>
        </w:tc>
        <w:tc>
          <w:tcPr>
            <w:tcW w:w="2841" w:type="dxa"/>
          </w:tcPr>
          <w:p>
            <w:pPr>
              <w:rPr>
                <w:sz w:val="24"/>
                <w:szCs w:val="24"/>
              </w:rPr>
            </w:pPr>
            <w:r>
              <w:rPr>
                <w:sz w:val="24"/>
                <w:szCs w:val="24"/>
              </w:rPr>
              <w:t>增加</w:t>
            </w:r>
            <w:r>
              <w:rPr>
                <w:rFonts w:hint="eastAsia"/>
                <w:sz w:val="24"/>
                <w:szCs w:val="24"/>
              </w:rPr>
              <w:t>：根据半衰期可确定给药间隔时间，通常给药间隔时间约为1个半衰期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381</w:t>
            </w:r>
          </w:p>
        </w:tc>
        <w:tc>
          <w:tcPr>
            <w:tcW w:w="2841" w:type="dxa"/>
          </w:tcPr>
          <w:p>
            <w:pPr>
              <w:rPr>
                <w:sz w:val="24"/>
                <w:szCs w:val="24"/>
              </w:rPr>
            </w:pPr>
            <w:r>
              <w:rPr>
                <w:rFonts w:hint="eastAsia" w:ascii="宋体" w:hAnsi="宋体" w:eastAsia="宋体"/>
                <w:sz w:val="24"/>
                <w:szCs w:val="24"/>
              </w:rPr>
              <w:t>碘解磷定</w:t>
            </w:r>
          </w:p>
        </w:tc>
        <w:tc>
          <w:tcPr>
            <w:tcW w:w="2841" w:type="dxa"/>
          </w:tcPr>
          <w:p>
            <w:pPr>
              <w:rPr>
                <w:sz w:val="24"/>
                <w:szCs w:val="24"/>
              </w:rPr>
            </w:pPr>
            <w:r>
              <w:rPr>
                <w:sz w:val="24"/>
                <w:szCs w:val="24"/>
              </w:rPr>
              <w:t>氯解磷定</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381</w:t>
            </w:r>
          </w:p>
        </w:tc>
        <w:tc>
          <w:tcPr>
            <w:tcW w:w="2841" w:type="dxa"/>
          </w:tcPr>
          <w:p>
            <w:pPr>
              <w:rPr>
                <w:sz w:val="24"/>
                <w:szCs w:val="24"/>
              </w:rPr>
            </w:pPr>
            <w:r>
              <w:rPr>
                <w:rFonts w:hint="eastAsia" w:ascii="宋体" w:hAnsi="宋体" w:eastAsia="宋体"/>
                <w:sz w:val="24"/>
                <w:szCs w:val="24"/>
              </w:rPr>
              <w:t>M胆碱受体阻断药</w:t>
            </w:r>
          </w:p>
        </w:tc>
        <w:tc>
          <w:tcPr>
            <w:tcW w:w="2841" w:type="dxa"/>
          </w:tcPr>
          <w:p>
            <w:pPr>
              <w:rPr>
                <w:rFonts w:hint="eastAsia" w:ascii="宋体" w:hAnsi="宋体" w:eastAsia="宋体"/>
                <w:sz w:val="24"/>
                <w:szCs w:val="24"/>
              </w:rPr>
            </w:pPr>
            <w:r>
              <w:rPr>
                <w:rFonts w:hint="eastAsia" w:ascii="宋体" w:hAnsi="宋体" w:eastAsia="宋体"/>
                <w:sz w:val="24"/>
                <w:szCs w:val="24"/>
              </w:rPr>
              <w:t>M胆碱受体拮抗药</w:t>
            </w:r>
          </w:p>
          <w:p>
            <w:pPr>
              <w:rPr>
                <w:sz w:val="24"/>
                <w:szCs w:val="24"/>
              </w:rPr>
            </w:pPr>
            <w:r>
              <w:rPr>
                <w:rFonts w:hint="eastAsia" w:ascii="宋体" w:hAnsi="宋体" w:eastAsia="宋体"/>
                <w:sz w:val="24"/>
                <w:szCs w:val="24"/>
              </w:rPr>
              <w:t>此段往下“阻断”均改为“拮抗”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387</w:t>
            </w:r>
          </w:p>
        </w:tc>
        <w:tc>
          <w:tcPr>
            <w:tcW w:w="2841" w:type="dxa"/>
          </w:tcPr>
          <w:p>
            <w:pPr>
              <w:rPr>
                <w:sz w:val="24"/>
                <w:szCs w:val="24"/>
              </w:rPr>
            </w:pPr>
            <w:r>
              <w:rPr>
                <w:rFonts w:hint="eastAsia" w:ascii="宋体" w:hAnsi="宋体" w:eastAsia="宋体"/>
                <w:sz w:val="24"/>
                <w:szCs w:val="24"/>
              </w:rPr>
              <w:t>不良反应利多卡因的毒性大小与所用药液的浓度有关，增加浓度可相应增加毒性反应，且毒性反应来 势凶猛。</w:t>
            </w:r>
          </w:p>
        </w:tc>
        <w:tc>
          <w:tcPr>
            <w:tcW w:w="2841" w:type="dxa"/>
          </w:tcPr>
          <w:p>
            <w:pPr>
              <w:rPr>
                <w:sz w:val="24"/>
                <w:szCs w:val="24"/>
              </w:rPr>
            </w:pPr>
            <w:r>
              <w:rPr>
                <w:rFonts w:hint="eastAsia" w:ascii="宋体" w:hAnsi="宋体" w:eastAsia="宋体"/>
                <w:sz w:val="24"/>
                <w:szCs w:val="24"/>
              </w:rPr>
              <w:t>不良反应利多卡因的毒性大小与所用药液的浓度有关，增加浓度可相应增加毒性反应。</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388</w:t>
            </w:r>
          </w:p>
        </w:tc>
        <w:tc>
          <w:tcPr>
            <w:tcW w:w="2841" w:type="dxa"/>
          </w:tcPr>
          <w:p>
            <w:pPr>
              <w:rPr>
                <w:sz w:val="24"/>
                <w:szCs w:val="24"/>
              </w:rPr>
            </w:pPr>
            <w:r>
              <w:rPr>
                <w:rFonts w:hint="eastAsia" w:ascii="宋体" w:hAnsi="宋体" w:eastAsia="宋体"/>
                <w:sz w:val="24"/>
                <w:szCs w:val="24"/>
              </w:rPr>
              <w:t>苯妥英钠不良反应：常见皮疹和发热，偶见严重皮肤反应如剥脱性皮炎、系统性红斑。</w:t>
            </w:r>
          </w:p>
        </w:tc>
        <w:tc>
          <w:tcPr>
            <w:tcW w:w="2841" w:type="dxa"/>
          </w:tcPr>
          <w:p>
            <w:pPr>
              <w:rPr>
                <w:sz w:val="24"/>
                <w:szCs w:val="24"/>
              </w:rPr>
            </w:pPr>
            <w:r>
              <w:rPr>
                <w:rFonts w:hint="eastAsia"/>
                <w:sz w:val="24"/>
                <w:szCs w:val="24"/>
              </w:rPr>
              <w:t>可发生皮疹、血小板减少、粒细胞缺乏、再生障碍性贫血和肝坏死。</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388</w:t>
            </w:r>
          </w:p>
        </w:tc>
        <w:tc>
          <w:tcPr>
            <w:tcW w:w="2841" w:type="dxa"/>
          </w:tcPr>
          <w:p>
            <w:pPr>
              <w:spacing w:line="360" w:lineRule="auto"/>
              <w:rPr>
                <w:rFonts w:ascii="宋体" w:hAnsi="宋体" w:eastAsia="宋体"/>
                <w:sz w:val="24"/>
                <w:szCs w:val="24"/>
              </w:rPr>
            </w:pPr>
            <w:r>
              <w:rPr>
                <w:rFonts w:hint="eastAsia" w:ascii="宋体" w:hAnsi="宋体" w:eastAsia="宋体"/>
                <w:sz w:val="24"/>
                <w:szCs w:val="24"/>
              </w:rPr>
              <w:t>三、苯巴比妥、扑米酮</w:t>
            </w:r>
          </w:p>
          <w:p>
            <w:pPr>
              <w:rPr>
                <w:sz w:val="24"/>
                <w:szCs w:val="24"/>
              </w:rPr>
            </w:pPr>
          </w:p>
        </w:tc>
        <w:tc>
          <w:tcPr>
            <w:tcW w:w="2841" w:type="dxa"/>
          </w:tcPr>
          <w:p>
            <w:pPr>
              <w:spacing w:line="360" w:lineRule="auto"/>
              <w:rPr>
                <w:rFonts w:ascii="宋体" w:hAnsi="宋体" w:eastAsia="宋体"/>
                <w:sz w:val="24"/>
                <w:szCs w:val="24"/>
              </w:rPr>
            </w:pPr>
            <w:r>
              <w:rPr>
                <w:rFonts w:hint="eastAsia" w:ascii="宋体" w:hAnsi="宋体" w:eastAsia="宋体"/>
                <w:sz w:val="24"/>
                <w:szCs w:val="24"/>
              </w:rPr>
              <w:t>三、苯巴比妥</w:t>
            </w:r>
          </w:p>
          <w:p>
            <w:pPr>
              <w:rPr>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388</w:t>
            </w:r>
          </w:p>
        </w:tc>
        <w:tc>
          <w:tcPr>
            <w:tcW w:w="2841" w:type="dxa"/>
          </w:tcPr>
          <w:p>
            <w:pPr>
              <w:rPr>
                <w:rFonts w:hint="eastAsia"/>
                <w:sz w:val="24"/>
                <w:szCs w:val="24"/>
              </w:rPr>
            </w:pPr>
            <w:r>
              <w:rPr>
                <w:rFonts w:hint="eastAsia"/>
                <w:sz w:val="24"/>
                <w:szCs w:val="24"/>
              </w:rPr>
              <w:t>2.扑米酮与苯巴比妥相比并无特殊优点，且价格较贵，只用于其他药物不能控制的患者。</w:t>
            </w:r>
          </w:p>
          <w:p>
            <w:pPr>
              <w:rPr>
                <w:sz w:val="24"/>
                <w:szCs w:val="24"/>
              </w:rPr>
            </w:pPr>
            <w:r>
              <w:rPr>
                <w:rFonts w:hint="eastAsia"/>
                <w:sz w:val="24"/>
                <w:szCs w:val="24"/>
              </w:rPr>
              <w:t>2.扑米酮常见不良反应为:中枢神经系统症状为镇静、嗜睡、眩晕、复视及共济失调等;血液系统毒性反应 有白细胞减少、血小板减少以及贫血等。</w:t>
            </w:r>
          </w:p>
        </w:tc>
        <w:tc>
          <w:tcPr>
            <w:tcW w:w="2841" w:type="dxa"/>
          </w:tcPr>
          <w:p>
            <w:pPr>
              <w:rPr>
                <w:sz w:val="24"/>
                <w:szCs w:val="24"/>
              </w:rPr>
            </w:pPr>
            <w:r>
              <w:rPr>
                <w:sz w:val="24"/>
                <w:szCs w:val="24"/>
              </w:rPr>
              <w:t>删除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390</w:t>
            </w:r>
          </w:p>
        </w:tc>
        <w:tc>
          <w:tcPr>
            <w:tcW w:w="2841" w:type="dxa"/>
          </w:tcPr>
          <w:p>
            <w:pPr>
              <w:rPr>
                <w:sz w:val="24"/>
                <w:szCs w:val="24"/>
              </w:rPr>
            </w:pPr>
            <w:r>
              <w:rPr>
                <w:rFonts w:hint="eastAsia"/>
                <w:sz w:val="24"/>
                <w:szCs w:val="24"/>
              </w:rPr>
              <w:t>氨基酸脱羧酶</w:t>
            </w:r>
          </w:p>
        </w:tc>
        <w:tc>
          <w:tcPr>
            <w:tcW w:w="2841" w:type="dxa"/>
          </w:tcPr>
          <w:p>
            <w:pPr>
              <w:rPr>
                <w:sz w:val="24"/>
                <w:szCs w:val="24"/>
              </w:rPr>
            </w:pPr>
            <w:r>
              <w:rPr>
                <w:sz w:val="24"/>
                <w:szCs w:val="24"/>
              </w:rPr>
              <w:t>AADC</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392</w:t>
            </w:r>
          </w:p>
        </w:tc>
        <w:tc>
          <w:tcPr>
            <w:tcW w:w="2841" w:type="dxa"/>
          </w:tcPr>
          <w:p>
            <w:pPr>
              <w:rPr>
                <w:sz w:val="24"/>
                <w:szCs w:val="24"/>
              </w:rPr>
            </w:pPr>
            <w:r>
              <w:rPr>
                <w:sz w:val="24"/>
                <w:szCs w:val="24"/>
              </w:rPr>
              <w:t>氟西汀临床应用</w:t>
            </w:r>
            <w:r>
              <w:rPr>
                <w:rFonts w:hint="eastAsia"/>
                <w:sz w:val="24"/>
                <w:szCs w:val="24"/>
              </w:rPr>
              <w:t>：</w:t>
            </w:r>
            <w:r>
              <w:rPr>
                <w:sz w:val="24"/>
                <w:szCs w:val="24"/>
              </w:rPr>
              <w:t>强迫症</w:t>
            </w:r>
          </w:p>
        </w:tc>
        <w:tc>
          <w:tcPr>
            <w:tcW w:w="2841" w:type="dxa"/>
          </w:tcPr>
          <w:p>
            <w:pPr>
              <w:rPr>
                <w:sz w:val="24"/>
                <w:szCs w:val="24"/>
              </w:rPr>
            </w:pPr>
            <w:r>
              <w:rPr>
                <w:sz w:val="24"/>
                <w:szCs w:val="24"/>
              </w:rPr>
              <w:t>强迫障碍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394</w:t>
            </w:r>
          </w:p>
        </w:tc>
        <w:tc>
          <w:tcPr>
            <w:tcW w:w="2841" w:type="dxa"/>
          </w:tcPr>
          <w:p>
            <w:pPr>
              <w:rPr>
                <w:sz w:val="24"/>
                <w:szCs w:val="24"/>
              </w:rPr>
            </w:pPr>
            <w:r>
              <w:rPr>
                <w:rFonts w:hint="eastAsia"/>
                <w:sz w:val="24"/>
                <w:szCs w:val="24"/>
              </w:rPr>
              <w:t>，所以又被称为阿司匹林类药物</w:t>
            </w:r>
          </w:p>
        </w:tc>
        <w:tc>
          <w:tcPr>
            <w:tcW w:w="2841" w:type="dxa"/>
          </w:tcPr>
          <w:p>
            <w:pPr>
              <w:rPr>
                <w:sz w:val="24"/>
                <w:szCs w:val="24"/>
              </w:rPr>
            </w:pPr>
            <w:r>
              <w:rPr>
                <w:sz w:val="24"/>
                <w:szCs w:val="24"/>
              </w:rPr>
              <w:t>删除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399</w:t>
            </w:r>
          </w:p>
        </w:tc>
        <w:tc>
          <w:tcPr>
            <w:tcW w:w="2841" w:type="dxa"/>
          </w:tcPr>
          <w:p>
            <w:pPr>
              <w:spacing w:line="360" w:lineRule="auto"/>
              <w:rPr>
                <w:rFonts w:ascii="宋体" w:hAnsi="宋体" w:eastAsia="宋体"/>
                <w:sz w:val="24"/>
                <w:szCs w:val="24"/>
              </w:rPr>
            </w:pPr>
            <w:r>
              <w:rPr>
                <w:rFonts w:hint="eastAsia" w:ascii="宋体" w:hAnsi="宋体" w:eastAsia="宋体"/>
                <w:sz w:val="24"/>
                <w:szCs w:val="24"/>
              </w:rPr>
              <w:t>能促进Na+和H2O的排泄，减少血容量</w:t>
            </w:r>
          </w:p>
        </w:tc>
        <w:tc>
          <w:tcPr>
            <w:tcW w:w="2841" w:type="dxa"/>
          </w:tcPr>
          <w:p>
            <w:pPr>
              <w:rPr>
                <w:sz w:val="24"/>
                <w:szCs w:val="24"/>
              </w:rPr>
            </w:pPr>
            <w:r>
              <w:rPr>
                <w:rFonts w:hint="eastAsia"/>
                <w:sz w:val="24"/>
                <w:szCs w:val="24"/>
              </w:rPr>
              <w:t>能减少肾小管对Na+的重吸收，从而促进</w:t>
            </w:r>
            <w:r>
              <w:rPr>
                <w:rFonts w:hint="eastAsia" w:ascii="宋体" w:hAnsi="宋体" w:eastAsia="宋体"/>
                <w:sz w:val="24"/>
                <w:szCs w:val="24"/>
              </w:rPr>
              <w:t>Na+和H2O的排泄，减少血容量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402</w:t>
            </w:r>
          </w:p>
        </w:tc>
        <w:tc>
          <w:tcPr>
            <w:tcW w:w="2841" w:type="dxa"/>
          </w:tcPr>
          <w:p>
            <w:pPr>
              <w:rPr>
                <w:sz w:val="24"/>
                <w:szCs w:val="24"/>
              </w:rPr>
            </w:pPr>
          </w:p>
        </w:tc>
        <w:tc>
          <w:tcPr>
            <w:tcW w:w="2841" w:type="dxa"/>
          </w:tcPr>
          <w:p>
            <w:pPr>
              <w:rPr>
                <w:rFonts w:hint="eastAsia"/>
                <w:sz w:val="24"/>
                <w:szCs w:val="24"/>
              </w:rPr>
            </w:pPr>
            <w:r>
              <w:rPr>
                <w:sz w:val="24"/>
                <w:szCs w:val="24"/>
              </w:rPr>
              <w:t>HMG-CoA还原酶抑制药药理作用增加</w:t>
            </w:r>
            <w:r>
              <w:rPr>
                <w:rFonts w:hint="eastAsia"/>
                <w:sz w:val="24"/>
                <w:szCs w:val="24"/>
              </w:rPr>
              <w:t>：3 .肾脏保护作用他汀类不仅有依赖降低胆固醇的肾保护作用，同时具有抗细胞增殖、抗炎症、免疫抑制、</w:t>
            </w:r>
          </w:p>
          <w:p>
            <w:pPr>
              <w:rPr>
                <w:sz w:val="24"/>
                <w:szCs w:val="24"/>
              </w:rPr>
            </w:pPr>
            <w:r>
              <w:rPr>
                <w:rFonts w:hint="eastAsia"/>
                <w:sz w:val="24"/>
                <w:szCs w:val="24"/>
              </w:rPr>
              <w:t>质疏松等作用，减轻肾损害的程度，从而保护肾功能。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402</w:t>
            </w:r>
          </w:p>
        </w:tc>
        <w:tc>
          <w:tcPr>
            <w:tcW w:w="2841" w:type="dxa"/>
          </w:tcPr>
          <w:p>
            <w:pPr>
              <w:rPr>
                <w:sz w:val="24"/>
                <w:szCs w:val="24"/>
              </w:rPr>
            </w:pPr>
          </w:p>
        </w:tc>
        <w:tc>
          <w:tcPr>
            <w:tcW w:w="2841" w:type="dxa"/>
          </w:tcPr>
          <w:p>
            <w:pPr>
              <w:rPr>
                <w:sz w:val="24"/>
                <w:szCs w:val="24"/>
              </w:rPr>
            </w:pPr>
            <w:r>
              <w:rPr>
                <w:sz w:val="24"/>
                <w:szCs w:val="24"/>
              </w:rPr>
              <w:t>贝特类药物增加</w:t>
            </w:r>
            <w:r>
              <w:rPr>
                <w:rFonts w:hint="eastAsia"/>
                <w:sz w:val="24"/>
                <w:szCs w:val="24"/>
              </w:rPr>
              <w:t>：作用机制尚未完全阐明,可能与核受体-过氧化物酶体增殖激活受体(PPAR)有关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406</w:t>
            </w:r>
          </w:p>
        </w:tc>
        <w:tc>
          <w:tcPr>
            <w:tcW w:w="2841" w:type="dxa"/>
          </w:tcPr>
          <w:p>
            <w:pPr>
              <w:spacing w:line="360" w:lineRule="auto"/>
              <w:rPr>
                <w:rFonts w:ascii="宋体" w:hAnsi="宋体" w:eastAsia="宋体"/>
                <w:sz w:val="24"/>
                <w:szCs w:val="24"/>
              </w:rPr>
            </w:pPr>
          </w:p>
        </w:tc>
        <w:tc>
          <w:tcPr>
            <w:tcW w:w="2841" w:type="dxa"/>
          </w:tcPr>
          <w:p>
            <w:pPr>
              <w:spacing w:line="360" w:lineRule="auto"/>
              <w:rPr>
                <w:rFonts w:ascii="宋体" w:hAnsi="宋体" w:eastAsia="宋体"/>
                <w:sz w:val="24"/>
                <w:szCs w:val="24"/>
              </w:rPr>
            </w:pPr>
            <w:r>
              <w:rPr>
                <w:rFonts w:hint="eastAsia" w:ascii="宋体" w:hAnsi="宋体" w:eastAsia="宋体"/>
                <w:sz w:val="24"/>
                <w:szCs w:val="24"/>
              </w:rPr>
              <w:t>香豆素类抗凝血药的药理作用增加：胺碘酮等肝药酶抑制药可增加其凝血作用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406</w:t>
            </w:r>
          </w:p>
        </w:tc>
        <w:tc>
          <w:tcPr>
            <w:tcW w:w="2841" w:type="dxa"/>
          </w:tcPr>
          <w:p>
            <w:pPr>
              <w:spacing w:line="360" w:lineRule="auto"/>
              <w:rPr>
                <w:rFonts w:ascii="宋体" w:hAnsi="宋体" w:eastAsia="宋体"/>
                <w:sz w:val="24"/>
                <w:szCs w:val="24"/>
              </w:rPr>
            </w:pPr>
            <w:r>
              <w:rPr>
                <w:rFonts w:hint="eastAsia" w:ascii="宋体" w:hAnsi="宋体" w:eastAsia="宋体"/>
                <w:sz w:val="24"/>
                <w:szCs w:val="24"/>
              </w:rPr>
              <w:t>阿司匹林的作用机制及临床应用低剂量(40～80mg/d)阿司匹林(aspirin)即可抑制血小板聚集。阿司匹林不可逆的抑制COX-1的活性，从而抑制血小板和血管内膜TXA2的合成。阿司匹林在较大剂量时也能抑制血管内皮PGI2活性而减少PGI2的合成。</w:t>
            </w:r>
          </w:p>
        </w:tc>
        <w:tc>
          <w:tcPr>
            <w:tcW w:w="2841" w:type="dxa"/>
          </w:tcPr>
          <w:p>
            <w:pPr>
              <w:spacing w:line="360" w:lineRule="auto"/>
              <w:rPr>
                <w:rFonts w:ascii="宋体" w:hAnsi="宋体" w:eastAsia="宋体"/>
                <w:sz w:val="24"/>
                <w:szCs w:val="24"/>
              </w:rPr>
            </w:pPr>
            <w:r>
              <w:rPr>
                <w:rFonts w:hint="eastAsia" w:ascii="宋体" w:hAnsi="宋体" w:eastAsia="宋体"/>
                <w:sz w:val="24"/>
                <w:szCs w:val="24"/>
              </w:rPr>
              <w:t>阿司匹林的作用机制及临床应用低剂量(75～150mg/d)阿司匹林(aspirin)即可抑制血小板聚集。阿司匹林不可逆的抑制COX-1的活性，从而抑制血小板和血管内膜TXA2的合成。阿司匹林在较大剂量（300mg）时也能抑制血管内皮COX-1的活性而减少PGI2的合成，抵消部分抗血小板作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407</w:t>
            </w:r>
          </w:p>
        </w:tc>
        <w:tc>
          <w:tcPr>
            <w:tcW w:w="2841" w:type="dxa"/>
          </w:tcPr>
          <w:p>
            <w:pPr>
              <w:spacing w:line="360" w:lineRule="auto"/>
              <w:rPr>
                <w:rFonts w:ascii="宋体" w:hAnsi="宋体" w:eastAsia="宋体"/>
                <w:sz w:val="24"/>
                <w:szCs w:val="24"/>
              </w:rPr>
            </w:pPr>
            <w:r>
              <w:rPr>
                <w:rFonts w:hint="eastAsia" w:ascii="宋体" w:hAnsi="宋体" w:eastAsia="宋体"/>
                <w:sz w:val="24"/>
                <w:szCs w:val="24"/>
              </w:rPr>
              <w:t>并进入中枢神经系统，这可能是缺乏维生素B12引起的神经损害症状的原因</w:t>
            </w:r>
          </w:p>
        </w:tc>
        <w:tc>
          <w:tcPr>
            <w:tcW w:w="2841" w:type="dxa"/>
          </w:tcPr>
          <w:p>
            <w:pPr>
              <w:spacing w:line="360" w:lineRule="auto"/>
              <w:rPr>
                <w:rFonts w:ascii="宋体" w:hAnsi="宋体" w:eastAsia="宋体"/>
                <w:sz w:val="24"/>
                <w:szCs w:val="24"/>
              </w:rPr>
            </w:pPr>
            <w:r>
              <w:rPr>
                <w:rFonts w:hint="eastAsia" w:ascii="宋体" w:hAnsi="宋体" w:eastAsia="宋体"/>
                <w:sz w:val="24"/>
                <w:szCs w:val="24"/>
              </w:rPr>
              <w:t>并进入中枢神经系统，导致神经髓鞘完整性受损，这可能是缺乏维生素B12引起的神经损害症状的原因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407</w:t>
            </w:r>
          </w:p>
        </w:tc>
        <w:tc>
          <w:tcPr>
            <w:tcW w:w="2841" w:type="dxa"/>
          </w:tcPr>
          <w:p>
            <w:pPr>
              <w:spacing w:line="360" w:lineRule="auto"/>
              <w:rPr>
                <w:rFonts w:ascii="宋体" w:hAnsi="宋体" w:eastAsia="宋体"/>
                <w:sz w:val="24"/>
                <w:szCs w:val="24"/>
              </w:rPr>
            </w:pPr>
          </w:p>
        </w:tc>
        <w:tc>
          <w:tcPr>
            <w:tcW w:w="2841" w:type="dxa"/>
          </w:tcPr>
          <w:p>
            <w:pPr>
              <w:spacing w:line="360" w:lineRule="auto"/>
              <w:rPr>
                <w:rFonts w:ascii="宋体" w:hAnsi="宋体" w:eastAsia="宋体"/>
                <w:sz w:val="24"/>
                <w:szCs w:val="24"/>
              </w:rPr>
            </w:pPr>
            <w:r>
              <w:rPr>
                <w:rFonts w:ascii="宋体" w:hAnsi="宋体" w:eastAsia="宋体"/>
                <w:sz w:val="24"/>
                <w:szCs w:val="24"/>
              </w:rPr>
              <w:t>H1受体拮抗药的药理作用第一条变动大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409</w:t>
            </w:r>
          </w:p>
        </w:tc>
        <w:tc>
          <w:tcPr>
            <w:tcW w:w="2841" w:type="dxa"/>
          </w:tcPr>
          <w:p>
            <w:pPr>
              <w:spacing w:line="360" w:lineRule="auto"/>
              <w:rPr>
                <w:rFonts w:ascii="宋体" w:hAnsi="宋体" w:eastAsia="宋体"/>
                <w:sz w:val="24"/>
                <w:szCs w:val="24"/>
              </w:rPr>
            </w:pPr>
            <w:r>
              <w:rPr>
                <w:rFonts w:hint="eastAsia" w:ascii="宋体" w:hAnsi="宋体" w:eastAsia="宋体"/>
                <w:sz w:val="24"/>
                <w:szCs w:val="24"/>
              </w:rPr>
              <w:t>噻托溴铵竞争性且可逆性抑制M3受体</w:t>
            </w:r>
          </w:p>
        </w:tc>
        <w:tc>
          <w:tcPr>
            <w:tcW w:w="2841" w:type="dxa"/>
          </w:tcPr>
          <w:p>
            <w:pPr>
              <w:spacing w:line="360" w:lineRule="auto"/>
              <w:rPr>
                <w:rFonts w:ascii="宋体" w:hAnsi="宋体" w:eastAsia="宋体"/>
                <w:sz w:val="24"/>
                <w:szCs w:val="24"/>
              </w:rPr>
            </w:pPr>
            <w:r>
              <w:rPr>
                <w:rFonts w:hint="eastAsia" w:ascii="宋体" w:hAnsi="宋体" w:eastAsia="宋体"/>
                <w:sz w:val="24"/>
                <w:szCs w:val="24"/>
              </w:rPr>
              <w:t>噻托溴铵竞争性阻断M3受体</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409</w:t>
            </w:r>
          </w:p>
        </w:tc>
        <w:tc>
          <w:tcPr>
            <w:tcW w:w="2841" w:type="dxa"/>
          </w:tcPr>
          <w:p>
            <w:pPr>
              <w:spacing w:line="360" w:lineRule="auto"/>
              <w:rPr>
                <w:rFonts w:ascii="宋体" w:hAnsi="宋体" w:eastAsia="宋体"/>
                <w:sz w:val="24"/>
                <w:szCs w:val="24"/>
              </w:rPr>
            </w:pPr>
            <w:r>
              <w:rPr>
                <w:rFonts w:hint="eastAsia" w:ascii="宋体" w:hAnsi="宋体" w:eastAsia="宋体"/>
                <w:sz w:val="24"/>
                <w:szCs w:val="24"/>
              </w:rPr>
              <w:t>外源性刺激效果较好</w:t>
            </w:r>
          </w:p>
        </w:tc>
        <w:tc>
          <w:tcPr>
            <w:tcW w:w="2841" w:type="dxa"/>
          </w:tcPr>
          <w:p>
            <w:pPr>
              <w:spacing w:line="360" w:lineRule="auto"/>
              <w:rPr>
                <w:rFonts w:ascii="宋体" w:hAnsi="宋体" w:eastAsia="宋体"/>
                <w:sz w:val="24"/>
                <w:szCs w:val="24"/>
              </w:rPr>
            </w:pPr>
            <w:r>
              <w:rPr>
                <w:rFonts w:hint="eastAsia" w:ascii="宋体" w:hAnsi="宋体" w:eastAsia="宋体"/>
                <w:sz w:val="24"/>
                <w:szCs w:val="24"/>
              </w:rPr>
              <w:t>外源性刺激引起的哮喘效果较好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413</w:t>
            </w:r>
          </w:p>
        </w:tc>
        <w:tc>
          <w:tcPr>
            <w:tcW w:w="2841" w:type="dxa"/>
          </w:tcPr>
          <w:p>
            <w:pPr>
              <w:spacing w:line="360" w:lineRule="auto"/>
              <w:rPr>
                <w:rFonts w:ascii="宋体" w:hAnsi="宋体" w:eastAsia="宋体"/>
                <w:sz w:val="24"/>
                <w:szCs w:val="24"/>
              </w:rPr>
            </w:pPr>
            <w:r>
              <w:rPr>
                <w:rFonts w:hint="eastAsia" w:ascii="宋体" w:hAnsi="宋体" w:eastAsia="宋体"/>
                <w:sz w:val="24"/>
                <w:szCs w:val="24"/>
              </w:rPr>
              <w:t>α-葡糖苷酶抑制剂的药理作用及临床应用目前临床常用的是阿卡波糖。</w:t>
            </w:r>
          </w:p>
        </w:tc>
        <w:tc>
          <w:tcPr>
            <w:tcW w:w="2841" w:type="dxa"/>
          </w:tcPr>
          <w:p>
            <w:pPr>
              <w:spacing w:line="360" w:lineRule="auto"/>
              <w:rPr>
                <w:rFonts w:ascii="宋体" w:hAnsi="宋体" w:eastAsia="宋体"/>
                <w:sz w:val="24"/>
                <w:szCs w:val="24"/>
              </w:rPr>
            </w:pPr>
            <w:r>
              <w:rPr>
                <w:rFonts w:hint="eastAsia" w:ascii="宋体" w:hAnsi="宋体" w:eastAsia="宋体"/>
                <w:sz w:val="24"/>
                <w:szCs w:val="24"/>
              </w:rPr>
              <w:t>α-葡糖苷酶抑制剂的药理作用及临床应用目前临床常用的是阿卡波糖和伏格列波糖。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414</w:t>
            </w:r>
          </w:p>
        </w:tc>
        <w:tc>
          <w:tcPr>
            <w:tcW w:w="2841" w:type="dxa"/>
          </w:tcPr>
          <w:p>
            <w:pPr>
              <w:spacing w:line="360" w:lineRule="auto"/>
              <w:rPr>
                <w:rFonts w:ascii="宋体" w:hAnsi="宋体" w:eastAsia="宋体"/>
                <w:sz w:val="24"/>
                <w:szCs w:val="24"/>
              </w:rPr>
            </w:pPr>
            <w:r>
              <w:rPr>
                <w:rFonts w:hint="eastAsia" w:ascii="宋体" w:hAnsi="宋体" w:eastAsia="宋体"/>
                <w:sz w:val="24"/>
                <w:szCs w:val="24"/>
              </w:rPr>
              <w:t>是一类新型胰岛素增敏剂。临床上常用的药物包括吡格列酮、罗格列酮</w:t>
            </w:r>
          </w:p>
        </w:tc>
        <w:tc>
          <w:tcPr>
            <w:tcW w:w="2841" w:type="dxa"/>
          </w:tcPr>
          <w:p>
            <w:pPr>
              <w:spacing w:line="360" w:lineRule="auto"/>
              <w:rPr>
                <w:rFonts w:ascii="宋体" w:hAnsi="宋体" w:eastAsia="宋体"/>
                <w:sz w:val="24"/>
                <w:szCs w:val="24"/>
              </w:rPr>
            </w:pPr>
            <w:r>
              <w:rPr>
                <w:rFonts w:ascii="宋体" w:hAnsi="宋体" w:eastAsia="宋体"/>
                <w:sz w:val="24"/>
                <w:szCs w:val="24"/>
              </w:rPr>
              <w:t>删除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416</w:t>
            </w:r>
          </w:p>
        </w:tc>
        <w:tc>
          <w:tcPr>
            <w:tcW w:w="2841" w:type="dxa"/>
          </w:tcPr>
          <w:p>
            <w:pPr>
              <w:spacing w:line="360" w:lineRule="auto"/>
              <w:rPr>
                <w:rFonts w:ascii="宋体" w:hAnsi="宋体" w:eastAsia="宋体"/>
                <w:sz w:val="24"/>
                <w:szCs w:val="24"/>
              </w:rPr>
            </w:pPr>
            <w:r>
              <w:rPr>
                <w:rFonts w:hint="eastAsia" w:ascii="宋体" w:hAnsi="宋体" w:eastAsia="宋体"/>
                <w:sz w:val="24"/>
                <w:szCs w:val="24"/>
              </w:rPr>
              <w:t>也能用于厌氧菌引起的口腔感染和肺炎支原体、肺炎衣原体</w:t>
            </w:r>
          </w:p>
        </w:tc>
        <w:tc>
          <w:tcPr>
            <w:tcW w:w="2841" w:type="dxa"/>
          </w:tcPr>
          <w:p>
            <w:pPr>
              <w:spacing w:line="360" w:lineRule="auto"/>
              <w:rPr>
                <w:rFonts w:ascii="宋体" w:hAnsi="宋体" w:eastAsia="宋体"/>
                <w:sz w:val="24"/>
                <w:szCs w:val="24"/>
              </w:rPr>
            </w:pPr>
            <w:r>
              <w:rPr>
                <w:rFonts w:hint="eastAsia" w:ascii="宋体" w:hAnsi="宋体" w:eastAsia="宋体"/>
                <w:sz w:val="24"/>
                <w:szCs w:val="24"/>
              </w:rPr>
              <w:t>也能用于厌氧菌引起的口腔感染和军团菌、肺炎支原体、肺炎衣原体</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418</w:t>
            </w:r>
          </w:p>
        </w:tc>
        <w:tc>
          <w:tcPr>
            <w:tcW w:w="2841" w:type="dxa"/>
          </w:tcPr>
          <w:p>
            <w:pPr>
              <w:spacing w:line="360" w:lineRule="auto"/>
              <w:rPr>
                <w:rFonts w:ascii="宋体" w:hAnsi="宋体" w:eastAsia="宋体"/>
                <w:sz w:val="24"/>
                <w:szCs w:val="24"/>
              </w:rPr>
            </w:pPr>
            <w:r>
              <w:rPr>
                <w:rFonts w:hint="eastAsia" w:ascii="宋体" w:hAnsi="宋体" w:eastAsia="宋体"/>
                <w:sz w:val="24"/>
                <w:szCs w:val="24"/>
              </w:rPr>
              <w:t>一、喹诺酮类</w:t>
            </w:r>
          </w:p>
        </w:tc>
        <w:tc>
          <w:tcPr>
            <w:tcW w:w="2841" w:type="dxa"/>
          </w:tcPr>
          <w:p>
            <w:pPr>
              <w:spacing w:line="360" w:lineRule="auto"/>
              <w:rPr>
                <w:rFonts w:hint="eastAsia" w:ascii="宋体" w:hAnsi="宋体" w:eastAsia="宋体"/>
                <w:sz w:val="24"/>
                <w:szCs w:val="24"/>
              </w:rPr>
            </w:pPr>
            <w:r>
              <w:rPr>
                <w:rFonts w:hint="eastAsia" w:ascii="宋体" w:hAnsi="宋体" w:eastAsia="宋体"/>
                <w:sz w:val="24"/>
                <w:szCs w:val="24"/>
              </w:rPr>
              <w:t>一、氟喹诺酮类</w:t>
            </w:r>
          </w:p>
          <w:p>
            <w:pPr>
              <w:spacing w:line="360" w:lineRule="auto"/>
              <w:rPr>
                <w:rFonts w:ascii="宋体" w:hAnsi="宋体" w:eastAsia="宋体"/>
                <w:sz w:val="24"/>
                <w:szCs w:val="24"/>
              </w:rPr>
            </w:pPr>
            <w:r>
              <w:rPr>
                <w:rFonts w:hint="eastAsia" w:ascii="宋体" w:hAnsi="宋体" w:eastAsia="宋体"/>
                <w:sz w:val="24"/>
                <w:szCs w:val="24"/>
              </w:rPr>
              <w:t>以下此药均改为氟喹诺酮类</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6" w:hRule="atLeast"/>
        </w:trPr>
        <w:tc>
          <w:tcPr>
            <w:tcW w:w="2840" w:type="dxa"/>
          </w:tcPr>
          <w:p>
            <w:pPr>
              <w:rPr>
                <w:sz w:val="24"/>
                <w:szCs w:val="24"/>
              </w:rPr>
            </w:pPr>
            <w:r>
              <w:rPr>
                <w:rFonts w:hint="eastAsia"/>
                <w:sz w:val="24"/>
                <w:szCs w:val="24"/>
              </w:rPr>
              <w:t>422</w:t>
            </w:r>
          </w:p>
        </w:tc>
        <w:tc>
          <w:tcPr>
            <w:tcW w:w="2841" w:type="dxa"/>
          </w:tcPr>
          <w:p>
            <w:pPr>
              <w:spacing w:line="360" w:lineRule="auto"/>
              <w:rPr>
                <w:rFonts w:ascii="宋体" w:hAnsi="宋体" w:eastAsia="宋体"/>
                <w:sz w:val="24"/>
                <w:szCs w:val="24"/>
              </w:rPr>
            </w:pPr>
            <w:r>
              <w:rPr>
                <w:rFonts w:hint="eastAsia" w:ascii="宋体" w:hAnsi="宋体" w:eastAsia="宋体"/>
                <w:sz w:val="24"/>
                <w:szCs w:val="24"/>
              </w:rPr>
              <w:t>（四）干扰蛋白质合成的药物</w:t>
            </w:r>
          </w:p>
        </w:tc>
        <w:tc>
          <w:tcPr>
            <w:tcW w:w="2841" w:type="dxa"/>
          </w:tcPr>
          <w:p>
            <w:pPr>
              <w:spacing w:line="360" w:lineRule="auto"/>
              <w:rPr>
                <w:rFonts w:ascii="宋体" w:hAnsi="宋体" w:eastAsia="宋体"/>
                <w:sz w:val="24"/>
                <w:szCs w:val="24"/>
              </w:rPr>
            </w:pPr>
            <w:r>
              <w:rPr>
                <w:rFonts w:hint="eastAsia" w:ascii="宋体" w:hAnsi="宋体" w:eastAsia="宋体"/>
                <w:sz w:val="24"/>
                <w:szCs w:val="24"/>
              </w:rPr>
              <w:t>（四）抑制蛋白合成与功能的药物</w:t>
            </w:r>
          </w:p>
        </w:tc>
      </w:tr>
    </w:tbl>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moder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jc w:val="center"/>
    </w:pPr>
    <w:r>
      <w:t>www.med66.com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jc w:val="both"/>
    </w:pPr>
    <w:r>
      <w:pict>
        <v:shape id="WordPictureWatermark18629875" o:spid="_x0000_s2051" o:spt="75" type="#_x0000_t75" style="position:absolute;left:0pt;height:587.05pt;width:415.1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水印word"/>
          <o:lock v:ext="edit" aspectratio="t"/>
        </v:shape>
      </w:pict>
    </w:r>
    <w:r>
      <w:drawing>
        <wp:inline distT="0" distB="0" distL="0" distR="0">
          <wp:extent cx="1219200" cy="320675"/>
          <wp:effectExtent l="19050" t="0" r="0" b="0"/>
          <wp:docPr id="1" name="图片 0" descr="广告水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广告水印.png"/>
                  <pic:cNvPicPr>
                    <a:picLocks noChangeAspect="1"/>
                  </pic:cNvPicPr>
                </pic:nvPicPr>
                <pic:blipFill>
                  <a:blip r:embed="rId2"/>
                  <a:stretch>
                    <a:fillRect/>
                  </a:stretch>
                </pic:blipFill>
                <pic:spPr>
                  <a:xfrm>
                    <a:off x="0" y="0"/>
                    <a:ext cx="1219200" cy="320842"/>
                  </a:xfrm>
                  <a:prstGeom prst="rect">
                    <a:avLst/>
                  </a:prstGeom>
                </pic:spPr>
              </pic:pic>
            </a:graphicData>
          </a:graphic>
        </wp:inline>
      </w:drawing>
    </w:r>
    <w:r>
      <w:rPr>
        <w:rFonts w:hint="eastAsia"/>
      </w:rPr>
      <w:t>19年临床医师讨论：431635329，微信公众号：yishi_med66，客服电话010-82311666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WordPictureWatermark18629874" o:spid="_x0000_s2050" o:spt="75" type="#_x0000_t75" style="position:absolute;left:0pt;height:587.05pt;width:415.1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水印word"/>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WordPictureWatermark18629873" o:spid="_x0000_s2049" o:spt="75" type="#_x0000_t75" style="position:absolute;left:0pt;height:587.05pt;width:415.15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o:title="水印word"/>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AE7838"/>
    <w:rsid w:val="00081DC1"/>
    <w:rsid w:val="001443FD"/>
    <w:rsid w:val="001507A7"/>
    <w:rsid w:val="002B793F"/>
    <w:rsid w:val="002E4466"/>
    <w:rsid w:val="0035677F"/>
    <w:rsid w:val="00364B22"/>
    <w:rsid w:val="00366A59"/>
    <w:rsid w:val="004048C5"/>
    <w:rsid w:val="00412BE5"/>
    <w:rsid w:val="00447487"/>
    <w:rsid w:val="00501136"/>
    <w:rsid w:val="00513BAE"/>
    <w:rsid w:val="00546F7B"/>
    <w:rsid w:val="00552865"/>
    <w:rsid w:val="005B660F"/>
    <w:rsid w:val="005D08EA"/>
    <w:rsid w:val="005F17DE"/>
    <w:rsid w:val="006072C7"/>
    <w:rsid w:val="00633352"/>
    <w:rsid w:val="00660F67"/>
    <w:rsid w:val="00683BDC"/>
    <w:rsid w:val="006A1A0A"/>
    <w:rsid w:val="006D0C94"/>
    <w:rsid w:val="007015E9"/>
    <w:rsid w:val="007D1392"/>
    <w:rsid w:val="007F254D"/>
    <w:rsid w:val="008137DA"/>
    <w:rsid w:val="0082125A"/>
    <w:rsid w:val="008B6795"/>
    <w:rsid w:val="008C256C"/>
    <w:rsid w:val="00907E4F"/>
    <w:rsid w:val="009168D7"/>
    <w:rsid w:val="00925A54"/>
    <w:rsid w:val="00926E63"/>
    <w:rsid w:val="00930C37"/>
    <w:rsid w:val="00932AF2"/>
    <w:rsid w:val="009510BA"/>
    <w:rsid w:val="00961F95"/>
    <w:rsid w:val="00963B47"/>
    <w:rsid w:val="00971635"/>
    <w:rsid w:val="00985970"/>
    <w:rsid w:val="00AC669C"/>
    <w:rsid w:val="00AE7838"/>
    <w:rsid w:val="00B33330"/>
    <w:rsid w:val="00B73D40"/>
    <w:rsid w:val="00BE696B"/>
    <w:rsid w:val="00CF7CB0"/>
    <w:rsid w:val="00DA6986"/>
    <w:rsid w:val="00E21433"/>
    <w:rsid w:val="00E900D1"/>
    <w:rsid w:val="00EC3B9A"/>
    <w:rsid w:val="00F5089B"/>
    <w:rsid w:val="00FD3B9C"/>
    <w:rsid w:val="00FD4BC9"/>
    <w:rsid w:val="3A9230C7"/>
    <w:rsid w:val="67340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spacing w:beforeAutospacing="1" w:afterAutospacing="1"/>
      <w:jc w:val="left"/>
    </w:pPr>
    <w:rPr>
      <w:rFonts w:cs="Times New Roman"/>
      <w:kern w:val="0"/>
      <w:sz w:val="24"/>
    </w:rPr>
  </w:style>
  <w:style w:type="table" w:styleId="7">
    <w:name w:val="Table Grid"/>
    <w:basedOn w:val="6"/>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Hyperlink"/>
    <w:basedOn w:val="8"/>
    <w:qFormat/>
    <w:uiPriority w:val="0"/>
    <w:rPr>
      <w:color w:val="0000FF"/>
      <w:u w:val="single"/>
    </w:rPr>
  </w:style>
  <w:style w:type="character" w:customStyle="1" w:styleId="11">
    <w:name w:val="页眉 Char"/>
    <w:basedOn w:val="8"/>
    <w:link w:val="4"/>
    <w:semiHidden/>
    <w:qFormat/>
    <w:uiPriority w:val="99"/>
    <w:rPr>
      <w:sz w:val="18"/>
      <w:szCs w:val="18"/>
    </w:rPr>
  </w:style>
  <w:style w:type="character" w:customStyle="1" w:styleId="12">
    <w:name w:val="页脚 Char"/>
    <w:basedOn w:val="8"/>
    <w:link w:val="3"/>
    <w:uiPriority w:val="99"/>
    <w:rPr>
      <w:sz w:val="18"/>
      <w:szCs w:val="18"/>
    </w:rPr>
  </w:style>
  <w:style w:type="character" w:customStyle="1" w:styleId="13">
    <w:name w:val="批注框文本 Char"/>
    <w:basedOn w:val="8"/>
    <w:link w:val="2"/>
    <w:semiHidden/>
    <w:qFormat/>
    <w:uiPriority w:val="99"/>
    <w:rPr>
      <w:sz w:val="18"/>
      <w:szCs w:val="18"/>
    </w:rPr>
  </w:style>
  <w:style w:type="character" w:customStyle="1" w:styleId="14">
    <w:name w:val="time3"/>
    <w:basedOn w:val="8"/>
    <w:qFormat/>
    <w:uiPriority w:val="0"/>
  </w:style>
  <w:style w:type="paragraph" w:customStyle="1" w:styleId="15">
    <w:name w:val="Default"/>
    <w:basedOn w:val="1"/>
    <w:uiPriority w:val="0"/>
    <w:pPr>
      <w:autoSpaceDE w:val="0"/>
      <w:autoSpaceDN w:val="0"/>
      <w:adjustRightInd w:val="0"/>
      <w:ind w:firstLine="0" w:firstLineChars="0"/>
      <w:jc w:val="left"/>
    </w:pPr>
    <w:rPr>
      <w:rFonts w:ascii="MingLiU" w:hAnsi="Calibri" w:eastAsia="MingLiU" w:cs="宋体"/>
      <w:color w:val="00000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123</Words>
  <Characters>704</Characters>
  <Lines>5</Lines>
  <Paragraphs>1</Paragraphs>
  <TotalTime>0</TotalTime>
  <ScaleCrop>false</ScaleCrop>
  <LinksUpToDate>false</LinksUpToDate>
  <CharactersWithSpaces>826</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2019-12-05T02:23:00Z</dcterms:created>
  <dc:creator>DELL</dc:creator>
  <cp:lastModifiedBy>dell</cp:lastModifiedBy>
  <cp:lastPrinted>2018-12-12T03:32:00Z</cp:lastPrinted>
  <dcterms:modified xsi:type="dcterms:W3CDTF">2019-12-05T02:43:24Z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