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420"/>
        <w:jc w:val="center"/>
        <w:rPr>
          <w:rFonts w:ascii="宋体" w:hAnsi="宋体"/>
        </w:rPr>
      </w:pPr>
      <w:r>
        <w:rPr>
          <w:rFonts w:hint="eastAsia" w:ascii="宋体" w:hAnsi="宋体"/>
        </w:rPr>
        <w:t>2020年临床执业医师教材变动-</w:t>
      </w:r>
      <w:r>
        <w:rPr>
          <w:rFonts w:hint="eastAsia" w:ascii="宋体" w:hAnsi="宋体"/>
          <w:lang w:eastAsia="zh-CN"/>
        </w:rPr>
        <w:t>血液</w:t>
      </w:r>
      <w:bookmarkStart w:id="0" w:name="_GoBack"/>
      <w:bookmarkEnd w:id="0"/>
      <w:r>
        <w:rPr>
          <w:rFonts w:hint="eastAsia" w:ascii="宋体" w:hAnsi="宋体"/>
        </w:rPr>
        <w:t>科目</w:t>
      </w:r>
    </w:p>
    <w:p>
      <w:pPr>
        <w:ind w:firstLine="0" w:firstLineChars="0"/>
        <w:rPr>
          <w:rFonts w:ascii="宋体" w:hAnsi="宋体"/>
        </w:rPr>
      </w:pPr>
      <w:r>
        <w:rPr>
          <w:rFonts w:hint="eastAsia" w:ascii="宋体" w:hAnsi="宋体"/>
        </w:rPr>
        <w:t xml:space="preserve"> </w:t>
      </w:r>
    </w:p>
    <w:tbl>
      <w:tblPr>
        <w:tblStyle w:val="6"/>
        <w:tblW w:w="5000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65"/>
        <w:gridCol w:w="27"/>
        <w:gridCol w:w="3203"/>
        <w:gridCol w:w="4027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7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ind w:firstLine="0" w:firstLineChars="0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页码（2020）</w:t>
            </w:r>
          </w:p>
        </w:tc>
        <w:tc>
          <w:tcPr>
            <w:tcW w:w="1895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ind w:firstLine="0" w:firstLineChars="0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201</w:t>
            </w:r>
            <w:r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  <w:t>9</w:t>
            </w: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年</w:t>
            </w:r>
          </w:p>
        </w:tc>
        <w:tc>
          <w:tcPr>
            <w:tcW w:w="236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ind w:firstLine="0" w:firstLineChars="0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20</w:t>
            </w:r>
            <w:r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  <w:t>20</w:t>
            </w: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</w:trPr>
        <w:tc>
          <w:tcPr>
            <w:tcW w:w="74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ind w:firstLine="0" w:firstLineChars="0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849</w:t>
            </w:r>
          </w:p>
        </w:tc>
        <w:tc>
          <w:tcPr>
            <w:tcW w:w="1895" w:type="pct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ind w:firstLine="0" w:firstLineChars="0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3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ind w:firstLine="0" w:firstLineChars="0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表格位置变且内容也有变化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</w:trPr>
        <w:tc>
          <w:tcPr>
            <w:tcW w:w="758" w:type="pct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ind w:firstLine="0" w:firstLineChars="0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849</w:t>
            </w:r>
          </w:p>
        </w:tc>
        <w:tc>
          <w:tcPr>
            <w:tcW w:w="187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ind w:firstLine="0" w:firstLineChars="0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3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ind w:firstLine="0" w:firstLineChars="0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增加：含铁血黄素尿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758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ind w:firstLine="0" w:firstLineChars="0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850</w:t>
            </w:r>
          </w:p>
        </w:tc>
        <w:tc>
          <w:tcPr>
            <w:tcW w:w="18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spacing w:line="360" w:lineRule="auto"/>
              <w:ind w:firstLine="0" w:firstLineChars="0"/>
              <w:jc w:val="left"/>
              <w:rPr>
                <w:rFonts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肌红蛋白铁约占</w:t>
            </w:r>
            <w:r>
              <w:rPr>
                <w:rFonts w:ascii="宋体" w:hAnsi="宋体"/>
                <w:sz w:val="24"/>
                <w:szCs w:val="24"/>
              </w:rPr>
              <w:t>3.5 %</w:t>
            </w:r>
            <w:r>
              <w:rPr>
                <w:rFonts w:hint="eastAsia" w:ascii="宋体" w:hAnsi="宋体"/>
                <w:sz w:val="24"/>
                <w:szCs w:val="24"/>
              </w:rPr>
              <w:t>，贮存铁约占</w:t>
            </w:r>
            <w:r>
              <w:rPr>
                <w:rFonts w:ascii="宋体" w:hAnsi="宋体"/>
                <w:sz w:val="24"/>
                <w:szCs w:val="24"/>
              </w:rPr>
              <w:t>29</w:t>
            </w:r>
            <w:r>
              <w:rPr>
                <w:rFonts w:hint="eastAsia" w:ascii="宋体" w:hAnsi="宋体"/>
                <w:sz w:val="24"/>
                <w:szCs w:val="24"/>
              </w:rPr>
              <w:t>.2</w:t>
            </w:r>
            <w:r>
              <w:rPr>
                <w:rFonts w:ascii="宋体" w:hAnsi="宋体"/>
                <w:sz w:val="24"/>
                <w:szCs w:val="24"/>
              </w:rPr>
              <w:t xml:space="preserve"> %</w:t>
            </w:r>
          </w:p>
        </w:tc>
        <w:tc>
          <w:tcPr>
            <w:tcW w:w="2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ind w:firstLine="0" w:firstLineChars="0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删除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758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ind w:firstLine="0" w:firstLineChars="0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851</w:t>
            </w:r>
          </w:p>
        </w:tc>
        <w:tc>
          <w:tcPr>
            <w:tcW w:w="18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ind w:firstLine="0" w:firstLineChars="0"/>
              <w:rPr>
                <w:rFonts w:cs="宋体" w:asciiTheme="minorEastAsia" w:hAnsiTheme="minorEastAsia"/>
                <w:sz w:val="24"/>
                <w:szCs w:val="24"/>
              </w:rPr>
            </w:pPr>
          </w:p>
        </w:tc>
        <w:tc>
          <w:tcPr>
            <w:tcW w:w="2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ind w:firstLine="0" w:firstLineChars="0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非血液系统表现（2）增加：还有易怒、妄想、抑郁、失眠等精神症状。胃酸缺乏增加：内因子抗体阴性。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758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ind w:firstLine="0" w:firstLineChars="0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852</w:t>
            </w:r>
          </w:p>
        </w:tc>
        <w:tc>
          <w:tcPr>
            <w:tcW w:w="18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ind w:firstLine="0" w:firstLineChars="0"/>
              <w:rPr>
                <w:rFonts w:cs="宋体" w:asciiTheme="minorEastAsia" w:hAnsiTheme="minorEastAsia"/>
                <w:sz w:val="24"/>
                <w:szCs w:val="24"/>
              </w:rPr>
            </w:pPr>
          </w:p>
        </w:tc>
        <w:tc>
          <w:tcPr>
            <w:tcW w:w="2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ind w:firstLine="0" w:firstLineChars="0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增加：治疗维持终身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758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ind w:firstLine="0" w:firstLineChars="0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852</w:t>
            </w:r>
          </w:p>
        </w:tc>
        <w:tc>
          <w:tcPr>
            <w:tcW w:w="18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ind w:firstLine="0" w:firstLineChars="0"/>
              <w:rPr>
                <w:rFonts w:cs="宋体" w:asciiTheme="minorEastAsia" w:hAnsiTheme="minorEastAsia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急性（又称重型再障Ⅰ型）和慢性（又称非重型再障）两型，慢性再障后期病情恶化加重称重型再障Ⅱ型</w:t>
            </w:r>
          </w:p>
        </w:tc>
        <w:tc>
          <w:tcPr>
            <w:tcW w:w="2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ind w:firstLine="0" w:firstLineChars="0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重型再障和非重型再障两型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758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ind w:firstLine="0" w:firstLineChars="0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852</w:t>
            </w:r>
          </w:p>
        </w:tc>
        <w:tc>
          <w:tcPr>
            <w:tcW w:w="18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spacing w:line="360" w:lineRule="auto"/>
              <w:ind w:firstLine="0" w:firstLineChars="0"/>
              <w:jc w:val="left"/>
              <w:rPr>
                <w:rFonts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kern w:val="0"/>
                <w:sz w:val="24"/>
                <w:szCs w:val="24"/>
              </w:rPr>
              <w:t>慢性再障</w:t>
            </w:r>
          </w:p>
        </w:tc>
        <w:tc>
          <w:tcPr>
            <w:tcW w:w="2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ind w:firstLine="0" w:firstLineChars="0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非重型再障  增加：上呼吸道感染常见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758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ind w:firstLine="0" w:firstLineChars="0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853</w:t>
            </w:r>
          </w:p>
        </w:tc>
        <w:tc>
          <w:tcPr>
            <w:tcW w:w="18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spacing w:line="360" w:lineRule="auto"/>
              <w:ind w:firstLine="0" w:firstLineChars="0"/>
              <w:jc w:val="left"/>
              <w:rPr>
                <w:rFonts w:hint="eastAsia" w:ascii="宋体" w:hAnsi="宋体"/>
                <w:color w:val="FF0000"/>
                <w:sz w:val="24"/>
                <w:szCs w:val="24"/>
              </w:rPr>
            </w:pPr>
            <w:r>
              <w:rPr>
                <w:rFonts w:hint="eastAsia" w:ascii="宋体" w:hAnsi="宋体"/>
                <w:color w:val="FF0000"/>
                <w:sz w:val="24"/>
                <w:szCs w:val="24"/>
              </w:rPr>
              <w:t>难治性贫血（RA）和WHO提出的难治性血细胞减少伴多系增生异常（RCMD）</w:t>
            </w:r>
          </w:p>
          <w:p>
            <w:pPr>
              <w:autoSpaceDE w:val="0"/>
              <w:autoSpaceDN w:val="0"/>
              <w:adjustRightInd w:val="0"/>
              <w:spacing w:line="360" w:lineRule="auto"/>
              <w:ind w:firstLine="0" w:firstLineChars="0"/>
              <w:jc w:val="left"/>
              <w:rPr>
                <w:rFonts w:hint="eastAsia" w:ascii="宋体" w:hAnsi="宋体"/>
                <w:color w:val="FF0000"/>
                <w:sz w:val="24"/>
                <w:szCs w:val="24"/>
              </w:rPr>
            </w:pPr>
            <w:r>
              <w:rPr>
                <w:rFonts w:hint="eastAsia" w:ascii="宋体" w:hAnsi="宋体"/>
                <w:color w:val="FF0000"/>
                <w:sz w:val="24"/>
                <w:szCs w:val="24"/>
              </w:rPr>
              <w:t>低增生性</w:t>
            </w:r>
          </w:p>
          <w:p>
            <w:pPr>
              <w:autoSpaceDE w:val="0"/>
              <w:autoSpaceDN w:val="0"/>
              <w:adjustRightInd w:val="0"/>
              <w:spacing w:line="360" w:lineRule="auto"/>
              <w:ind w:firstLine="0" w:firstLineChars="0"/>
              <w:jc w:val="left"/>
              <w:rPr>
                <w:rFonts w:hint="eastAsia" w:ascii="宋体" w:hAnsi="宋体"/>
                <w:color w:val="FF0000"/>
                <w:sz w:val="24"/>
                <w:szCs w:val="24"/>
              </w:rPr>
            </w:pPr>
            <w:r>
              <w:rPr>
                <w:rFonts w:hint="eastAsia" w:ascii="宋体" w:hAnsi="宋体"/>
                <w:color w:val="FF0000"/>
                <w:sz w:val="24"/>
                <w:szCs w:val="24"/>
              </w:rPr>
              <w:t>遗传性口形细胞增多症</w:t>
            </w:r>
          </w:p>
          <w:p>
            <w:pPr>
              <w:autoSpaceDE w:val="0"/>
              <w:autoSpaceDN w:val="0"/>
              <w:adjustRightInd w:val="0"/>
              <w:spacing w:line="360" w:lineRule="auto"/>
              <w:ind w:firstLine="0" w:firstLineChars="0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司坦唑醇（康力龙）2-4mg</w:t>
            </w:r>
          </w:p>
        </w:tc>
        <w:tc>
          <w:tcPr>
            <w:tcW w:w="2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ind w:firstLine="0" w:firstLineChars="0"/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删除红色部分。</w:t>
            </w:r>
          </w:p>
          <w:p>
            <w:pPr>
              <w:widowControl/>
              <w:spacing w:line="360" w:lineRule="auto"/>
              <w:ind w:firstLine="0" w:firstLineChars="0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司坦唑醇（康力龙）2mg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758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ind w:firstLine="0" w:firstLineChars="0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854</w:t>
            </w:r>
          </w:p>
        </w:tc>
        <w:tc>
          <w:tcPr>
            <w:tcW w:w="18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spacing w:line="360" w:lineRule="auto"/>
              <w:ind w:firstLine="0" w:firstLineChars="0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血红蛋白GDE</w:t>
            </w:r>
          </w:p>
        </w:tc>
        <w:tc>
          <w:tcPr>
            <w:tcW w:w="2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ind w:firstLine="0" w:firstLineChars="0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血红蛋白M病</w:t>
            </w:r>
          </w:p>
          <w:p>
            <w:pPr>
              <w:widowControl/>
              <w:spacing w:line="360" w:lineRule="auto"/>
              <w:ind w:firstLine="0" w:firstLineChars="0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758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ind w:firstLine="0" w:firstLineChars="0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854</w:t>
            </w:r>
          </w:p>
        </w:tc>
        <w:tc>
          <w:tcPr>
            <w:tcW w:w="18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spacing w:line="360" w:lineRule="auto"/>
              <w:ind w:firstLine="0" w:firstLineChars="0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ind w:firstLine="0" w:firstLineChars="0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表格形式有变化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758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ind w:firstLine="0" w:firstLineChars="0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854</w:t>
            </w:r>
          </w:p>
        </w:tc>
        <w:tc>
          <w:tcPr>
            <w:tcW w:w="18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spacing w:line="360" w:lineRule="auto"/>
              <w:ind w:firstLine="0" w:firstLineChars="0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ind w:firstLine="0" w:firstLineChars="0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  <w:t>实验室检查</w:t>
            </w: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增加：</w:t>
            </w:r>
            <w:r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  <w:t>提示红细胞破坏增多的实验室检查结果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758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ind w:firstLine="0" w:firstLineChars="0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855</w:t>
            </w:r>
          </w:p>
        </w:tc>
        <w:tc>
          <w:tcPr>
            <w:tcW w:w="18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spacing w:line="360" w:lineRule="auto"/>
              <w:ind w:firstLine="0" w:firstLineChars="0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中分子右旋糖酐</w:t>
            </w:r>
          </w:p>
        </w:tc>
        <w:tc>
          <w:tcPr>
            <w:tcW w:w="2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ind w:firstLine="0" w:firstLineChars="0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删除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758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ind w:firstLine="0" w:firstLineChars="0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856</w:t>
            </w:r>
          </w:p>
        </w:tc>
        <w:tc>
          <w:tcPr>
            <w:tcW w:w="18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spacing w:line="360" w:lineRule="auto"/>
              <w:ind w:firstLine="0" w:firstLineChars="0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ind w:firstLine="0" w:firstLineChars="0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增加：利妥昔单抗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758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ind w:firstLine="0" w:firstLineChars="0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856</w:t>
            </w:r>
          </w:p>
        </w:tc>
        <w:tc>
          <w:tcPr>
            <w:tcW w:w="18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spacing w:line="360" w:lineRule="auto"/>
              <w:ind w:firstLine="0" w:firstLineChars="0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+</w:t>
            </w:r>
          </w:p>
        </w:tc>
        <w:tc>
          <w:tcPr>
            <w:tcW w:w="2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ind w:firstLine="0" w:firstLineChars="0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+，阳性细胞＜3%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758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ind w:firstLine="0" w:firstLineChars="0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856</w:t>
            </w:r>
          </w:p>
        </w:tc>
        <w:tc>
          <w:tcPr>
            <w:tcW w:w="18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spacing w:line="360" w:lineRule="auto"/>
              <w:ind w:firstLine="0" w:firstLineChars="0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ind w:firstLine="0" w:firstLineChars="0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增加：Ⅰ型+Ⅱ型   NEC中原单核、幼单核≥30%，且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758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ind w:firstLine="0" w:firstLineChars="0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856</w:t>
            </w:r>
          </w:p>
        </w:tc>
        <w:tc>
          <w:tcPr>
            <w:tcW w:w="18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spacing w:line="360" w:lineRule="auto"/>
              <w:ind w:firstLine="0" w:firstLineChars="0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AML1(CBFa)/ETO、 PML/RARa、CBFB-MYH11、</w:t>
            </w:r>
            <w:r>
              <w:rPr>
                <w:rFonts w:hint="eastAsia" w:ascii="宋体" w:hAnsi="宋体"/>
                <w:sz w:val="24"/>
                <w:szCs w:val="24"/>
              </w:rPr>
              <w:t>CBFβ/MYH11</w:t>
            </w:r>
          </w:p>
        </w:tc>
        <w:tc>
          <w:tcPr>
            <w:tcW w:w="2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ind w:firstLine="0" w:firstLineChars="0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BUNX1-RUNX1T1、PML-RARA、CBFB-MYH11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758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ind w:firstLine="0" w:firstLineChars="0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857</w:t>
            </w:r>
          </w:p>
        </w:tc>
        <w:tc>
          <w:tcPr>
            <w:tcW w:w="18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spacing w:line="360" w:lineRule="auto"/>
              <w:ind w:firstLine="0" w:firstLineChars="0"/>
              <w:jc w:val="left"/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 xml:space="preserve">AML无成熟性 </w:t>
            </w:r>
          </w:p>
          <w:p>
            <w:pPr>
              <w:autoSpaceDE w:val="0"/>
              <w:autoSpaceDN w:val="0"/>
              <w:adjustRightInd w:val="0"/>
              <w:spacing w:line="360" w:lineRule="auto"/>
              <w:ind w:firstLine="0" w:firstLineChars="0"/>
              <w:jc w:val="left"/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AML部分分化型</w:t>
            </w:r>
          </w:p>
          <w:p>
            <w:pPr>
              <w:autoSpaceDE w:val="0"/>
              <w:autoSpaceDN w:val="0"/>
              <w:adjustRightInd w:val="0"/>
              <w:spacing w:line="360" w:lineRule="auto"/>
              <w:ind w:firstLine="0" w:firstLineChars="0"/>
              <w:jc w:val="left"/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纯红白血病</w:t>
            </w:r>
          </w:p>
          <w:p>
            <w:pPr>
              <w:autoSpaceDE w:val="0"/>
              <w:autoSpaceDN w:val="0"/>
              <w:adjustRightInd w:val="0"/>
              <w:spacing w:line="360" w:lineRule="auto"/>
              <w:ind w:firstLine="0" w:firstLineChars="0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急性全髓增殖症伴有骨髓纤维化</w:t>
            </w:r>
          </w:p>
        </w:tc>
        <w:tc>
          <w:tcPr>
            <w:tcW w:w="2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ind w:firstLine="0" w:firstLineChars="0"/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AML未分化型</w:t>
            </w:r>
          </w:p>
          <w:p>
            <w:pPr>
              <w:widowControl/>
              <w:spacing w:line="360" w:lineRule="auto"/>
              <w:ind w:firstLine="0" w:firstLineChars="0"/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AML部分分化型</w:t>
            </w:r>
          </w:p>
          <w:p>
            <w:pPr>
              <w:widowControl/>
              <w:spacing w:line="360" w:lineRule="auto"/>
              <w:ind w:firstLine="0" w:firstLineChars="0"/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纯红血病</w:t>
            </w:r>
          </w:p>
          <w:p>
            <w:pPr>
              <w:widowControl/>
              <w:spacing w:line="360" w:lineRule="auto"/>
              <w:ind w:firstLine="0" w:firstLineChars="0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急性全髓增生伴骨髓纤维化</w:t>
            </w:r>
            <w:r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758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ind w:firstLine="0" w:firstLineChars="0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857</w:t>
            </w:r>
          </w:p>
        </w:tc>
        <w:tc>
          <w:tcPr>
            <w:tcW w:w="18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spacing w:line="360" w:lineRule="auto"/>
              <w:ind w:firstLine="0" w:firstLineChars="0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HLA-DR</w:t>
            </w:r>
          </w:p>
        </w:tc>
        <w:tc>
          <w:tcPr>
            <w:tcW w:w="2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ind w:firstLine="0" w:firstLineChars="0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变为：CD-20、TdT  增加：CD2、CD5、TdT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758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ind w:firstLine="0" w:firstLineChars="0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858</w:t>
            </w:r>
          </w:p>
        </w:tc>
        <w:tc>
          <w:tcPr>
            <w:tcW w:w="18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spacing w:line="360" w:lineRule="auto"/>
              <w:ind w:firstLine="0" w:firstLineChars="0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ind w:firstLine="0" w:firstLineChars="0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  <w:t>表格中基因有变化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758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ind w:firstLine="0" w:firstLineChars="0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858</w:t>
            </w:r>
          </w:p>
        </w:tc>
        <w:tc>
          <w:tcPr>
            <w:tcW w:w="18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spacing w:line="360" w:lineRule="auto"/>
              <w:ind w:firstLine="0" w:firstLineChars="0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  <w:t>＜</w:t>
            </w: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30%，依据WHO分型需＜20%</w:t>
            </w:r>
          </w:p>
        </w:tc>
        <w:tc>
          <w:tcPr>
            <w:tcW w:w="2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ind w:firstLine="0" w:firstLineChars="0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变为：小于20</w:t>
            </w:r>
          </w:p>
          <w:p>
            <w:pPr>
              <w:widowControl/>
              <w:spacing w:line="360" w:lineRule="auto"/>
              <w:ind w:firstLine="0" w:firstLineChars="0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758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ind w:firstLine="0" w:firstLineChars="0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858</w:t>
            </w:r>
          </w:p>
        </w:tc>
        <w:tc>
          <w:tcPr>
            <w:tcW w:w="18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spacing w:line="360" w:lineRule="auto"/>
              <w:ind w:firstLine="0" w:firstLineChars="0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1.0</w:t>
            </w:r>
            <w:r>
              <w:rPr>
                <w:rFonts w:hint="eastAsia" w:ascii="宋体" w:hAnsi="宋体"/>
                <w:sz w:val="24"/>
                <w:szCs w:val="24"/>
              </w:rPr>
              <w:t>×10</w:t>
            </w:r>
            <w:r>
              <w:rPr>
                <w:rFonts w:hint="eastAsia" w:ascii="宋体" w:hAnsi="宋体"/>
                <w:sz w:val="24"/>
                <w:szCs w:val="24"/>
                <w:vertAlign w:val="superscript"/>
              </w:rPr>
              <w:t>9</w:t>
            </w:r>
            <w:r>
              <w:rPr>
                <w:rFonts w:hint="eastAsia" w:ascii="宋体" w:hAnsi="宋体"/>
                <w:sz w:val="24"/>
                <w:szCs w:val="24"/>
              </w:rPr>
              <w:t>/L   ≤5%</w:t>
            </w:r>
          </w:p>
        </w:tc>
        <w:tc>
          <w:tcPr>
            <w:tcW w:w="2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ind w:firstLine="0" w:firstLineChars="0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1.5</w:t>
            </w:r>
            <w:r>
              <w:rPr>
                <w:rFonts w:hint="eastAsia" w:ascii="宋体" w:hAnsi="宋体"/>
                <w:sz w:val="24"/>
                <w:szCs w:val="24"/>
              </w:rPr>
              <w:t>×10</w:t>
            </w:r>
            <w:r>
              <w:rPr>
                <w:rFonts w:hint="eastAsia" w:ascii="宋体" w:hAnsi="宋体"/>
                <w:sz w:val="24"/>
                <w:szCs w:val="24"/>
                <w:vertAlign w:val="superscript"/>
              </w:rPr>
              <w:t>9</w:t>
            </w:r>
            <w:r>
              <w:rPr>
                <w:rFonts w:hint="eastAsia" w:ascii="宋体" w:hAnsi="宋体"/>
                <w:sz w:val="24"/>
                <w:szCs w:val="24"/>
              </w:rPr>
              <w:t>/L   ＜5%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758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ind w:firstLine="0" w:firstLineChars="0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858</w:t>
            </w:r>
          </w:p>
        </w:tc>
        <w:tc>
          <w:tcPr>
            <w:tcW w:w="18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spacing w:line="360" w:lineRule="auto"/>
              <w:ind w:firstLine="0" w:firstLineChars="0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ind w:firstLine="0" w:firstLineChars="0"/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增加：或IA（去甲氧柔红霉素+阿糖胞苷）</w:t>
            </w:r>
          </w:p>
          <w:p>
            <w:pPr>
              <w:widowControl/>
              <w:spacing w:line="360" w:lineRule="auto"/>
              <w:ind w:firstLine="0" w:firstLineChars="0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慢性髓系白血病亦称慢性粒细胞白血病。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758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ind w:firstLine="0" w:firstLineChars="0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858</w:t>
            </w:r>
          </w:p>
        </w:tc>
        <w:tc>
          <w:tcPr>
            <w:tcW w:w="18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spacing w:line="360" w:lineRule="auto"/>
              <w:ind w:firstLine="0" w:firstLineChars="0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慢性</w:t>
            </w:r>
            <w:r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  <w:t>粒细胞白血病</w:t>
            </w:r>
          </w:p>
        </w:tc>
        <w:tc>
          <w:tcPr>
            <w:tcW w:w="2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ind w:firstLine="0" w:firstLineChars="0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  <w:t>慢性髓系白血病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758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ind w:firstLine="0" w:firstLineChars="0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859</w:t>
            </w:r>
          </w:p>
        </w:tc>
        <w:tc>
          <w:tcPr>
            <w:tcW w:w="18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spacing w:line="360" w:lineRule="auto"/>
              <w:ind w:firstLine="0" w:firstLineChars="0"/>
              <w:jc w:val="left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骨髓中原始细胞或原淋</w:t>
            </w:r>
            <w:r>
              <w:rPr>
                <w:rFonts w:ascii="宋体" w:hAnsi="宋体"/>
                <w:sz w:val="24"/>
                <w:szCs w:val="24"/>
              </w:rPr>
              <w:t>+</w:t>
            </w:r>
            <w:r>
              <w:rPr>
                <w:rFonts w:hint="eastAsia" w:ascii="宋体" w:hAnsi="宋体"/>
                <w:sz w:val="24"/>
                <w:szCs w:val="24"/>
              </w:rPr>
              <w:t>幼淋或原单+幼单</w:t>
            </w:r>
            <w:r>
              <w:rPr>
                <w:rFonts w:ascii="宋体" w:hAnsi="宋体"/>
                <w:sz w:val="24"/>
                <w:szCs w:val="24"/>
              </w:rPr>
              <w:t>＞20%；</w:t>
            </w:r>
            <w:r>
              <w:rPr>
                <w:rFonts w:hint="eastAsia" w:ascii="宋体" w:hAnsi="宋体"/>
                <w:sz w:val="24"/>
                <w:szCs w:val="24"/>
              </w:rPr>
              <w:t>外周血中原粒</w:t>
            </w:r>
            <w:r>
              <w:rPr>
                <w:rFonts w:ascii="宋体" w:hAnsi="宋体"/>
                <w:sz w:val="24"/>
                <w:szCs w:val="24"/>
              </w:rPr>
              <w:t>+</w:t>
            </w:r>
            <w:r>
              <w:rPr>
                <w:rFonts w:hint="eastAsia" w:ascii="宋体" w:hAnsi="宋体"/>
                <w:sz w:val="24"/>
                <w:szCs w:val="24"/>
              </w:rPr>
              <w:t>早幼粒</w:t>
            </w:r>
            <w:r>
              <w:rPr>
                <w:rFonts w:ascii="宋体" w:hAnsi="宋体"/>
                <w:sz w:val="24"/>
                <w:szCs w:val="24"/>
              </w:rPr>
              <w:t>＞30%</w:t>
            </w:r>
            <w:r>
              <w:rPr>
                <w:rFonts w:hint="eastAsia" w:ascii="宋体" w:hAnsi="宋体"/>
                <w:sz w:val="24"/>
                <w:szCs w:val="24"/>
              </w:rPr>
              <w:t>，骨髓中原粒</w:t>
            </w:r>
            <w:r>
              <w:rPr>
                <w:rFonts w:ascii="宋体" w:hAnsi="宋体"/>
                <w:sz w:val="24"/>
                <w:szCs w:val="24"/>
              </w:rPr>
              <w:t>+</w:t>
            </w:r>
            <w:r>
              <w:rPr>
                <w:rFonts w:hint="eastAsia" w:ascii="宋体" w:hAnsi="宋体"/>
                <w:sz w:val="24"/>
                <w:szCs w:val="24"/>
              </w:rPr>
              <w:t>早幼粒</w:t>
            </w:r>
            <w:r>
              <w:rPr>
                <w:rFonts w:ascii="宋体" w:hAnsi="宋体"/>
                <w:sz w:val="24"/>
                <w:szCs w:val="24"/>
              </w:rPr>
              <w:t>＞50%；</w:t>
            </w:r>
          </w:p>
          <w:p>
            <w:pPr>
              <w:autoSpaceDE w:val="0"/>
              <w:autoSpaceDN w:val="0"/>
              <w:adjustRightInd w:val="0"/>
              <w:spacing w:line="360" w:lineRule="auto"/>
              <w:ind w:firstLine="0" w:firstLineChars="0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200×10</w:t>
            </w:r>
            <w:r>
              <w:rPr>
                <w:rFonts w:hint="eastAsia" w:ascii="宋体" w:hAnsi="宋体"/>
                <w:sz w:val="24"/>
                <w:szCs w:val="24"/>
                <w:vertAlign w:val="superscript"/>
              </w:rPr>
              <w:t>9</w:t>
            </w:r>
            <w:r>
              <w:rPr>
                <w:rFonts w:hint="eastAsia" w:ascii="宋体" w:hAnsi="宋体"/>
                <w:sz w:val="24"/>
                <w:szCs w:val="24"/>
              </w:rPr>
              <w:t>/L</w:t>
            </w:r>
          </w:p>
        </w:tc>
        <w:tc>
          <w:tcPr>
            <w:tcW w:w="2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ind w:firstLine="0" w:firstLineChars="0"/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变为：外周血或骨髓中原始细胞＞20%；或</w:t>
            </w:r>
          </w:p>
          <w:p>
            <w:pPr>
              <w:widowControl/>
              <w:spacing w:line="360" w:lineRule="auto"/>
              <w:ind w:firstLine="0" w:firstLineChars="0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变为：100</w:t>
            </w:r>
            <w:r>
              <w:rPr>
                <w:rFonts w:hint="eastAsia" w:ascii="宋体" w:hAnsi="宋体"/>
                <w:sz w:val="24"/>
                <w:szCs w:val="24"/>
              </w:rPr>
              <w:t>×10</w:t>
            </w:r>
            <w:r>
              <w:rPr>
                <w:rFonts w:hint="eastAsia" w:ascii="宋体" w:hAnsi="宋体"/>
                <w:sz w:val="24"/>
                <w:szCs w:val="24"/>
                <w:vertAlign w:val="superscript"/>
              </w:rPr>
              <w:t>9</w:t>
            </w:r>
            <w:r>
              <w:rPr>
                <w:rFonts w:hint="eastAsia" w:ascii="宋体" w:hAnsi="宋体"/>
                <w:sz w:val="24"/>
                <w:szCs w:val="24"/>
              </w:rPr>
              <w:t>/L</w:t>
            </w:r>
          </w:p>
          <w:p>
            <w:pPr>
              <w:widowControl/>
              <w:spacing w:line="360" w:lineRule="auto"/>
              <w:ind w:firstLine="0" w:firstLineChars="0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治疗序号有变，2、3点有增加。</w:t>
            </w:r>
          </w:p>
          <w:p>
            <w:pPr>
              <w:widowControl/>
              <w:spacing w:line="360" w:lineRule="auto"/>
              <w:ind w:firstLine="0" w:firstLineChars="0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治疗中第4点有变化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758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ind w:firstLine="0" w:firstLineChars="0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860</w:t>
            </w:r>
          </w:p>
        </w:tc>
        <w:tc>
          <w:tcPr>
            <w:tcW w:w="18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spacing w:line="360" w:lineRule="auto"/>
              <w:ind w:firstLine="0" w:firstLineChars="0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ind w:firstLine="0" w:firstLineChars="0"/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  <w:t>骨髓增生综合征表格大变</w:t>
            </w: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，</w:t>
            </w:r>
            <w:r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  <w:t>在</w:t>
            </w: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861页治疗中也增加表格</w:t>
            </w:r>
          </w:p>
          <w:p>
            <w:pPr>
              <w:widowControl/>
              <w:spacing w:line="360" w:lineRule="auto"/>
              <w:ind w:firstLine="0" w:firstLineChars="0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实验室检查删掉第5点</w:t>
            </w:r>
            <w:r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758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ind w:firstLine="0" w:firstLineChars="0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862</w:t>
            </w:r>
          </w:p>
        </w:tc>
        <w:tc>
          <w:tcPr>
            <w:tcW w:w="18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spacing w:line="360" w:lineRule="auto"/>
              <w:ind w:firstLine="0" w:firstLineChars="0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ind w:firstLine="0" w:firstLineChars="0"/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增加：阿糖胞苷  环孢素、ATG</w:t>
            </w:r>
          </w:p>
          <w:p>
            <w:pPr>
              <w:widowControl/>
              <w:spacing w:line="360" w:lineRule="auto"/>
              <w:ind w:firstLine="0" w:firstLineChars="0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淋巴瘤增加：占HL的95%  占HL的5% 2016年再次修订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758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ind w:firstLine="0" w:firstLineChars="0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862</w:t>
            </w:r>
          </w:p>
        </w:tc>
        <w:tc>
          <w:tcPr>
            <w:tcW w:w="18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spacing w:line="360" w:lineRule="auto"/>
              <w:ind w:firstLine="0" w:firstLineChars="0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  <w:t>易合并白血病</w:t>
            </w:r>
          </w:p>
        </w:tc>
        <w:tc>
          <w:tcPr>
            <w:tcW w:w="2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ind w:firstLine="0" w:firstLineChars="0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易累及骨髓，晚期发展为白血病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758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ind w:firstLine="0" w:firstLineChars="0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863</w:t>
            </w:r>
          </w:p>
        </w:tc>
        <w:tc>
          <w:tcPr>
            <w:tcW w:w="18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spacing w:line="360" w:lineRule="auto"/>
              <w:ind w:firstLine="0" w:firstLineChars="0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方案常应用</w:t>
            </w:r>
            <w:r>
              <w:rPr>
                <w:rFonts w:ascii="宋体" w:hAnsi="宋体"/>
                <w:sz w:val="24"/>
                <w:szCs w:val="24"/>
              </w:rPr>
              <w:t>MOPP（</w:t>
            </w:r>
            <w:r>
              <w:rPr>
                <w:rFonts w:hint="eastAsia" w:ascii="宋体" w:hAnsi="宋体"/>
                <w:sz w:val="24"/>
                <w:szCs w:val="24"/>
              </w:rPr>
              <w:t>氮芥、长春新碱、甲基苄肼、泼尼松），完全缓解率占</w:t>
            </w:r>
            <w:r>
              <w:rPr>
                <w:rFonts w:ascii="宋体" w:hAnsi="宋体"/>
                <w:sz w:val="24"/>
                <w:szCs w:val="24"/>
              </w:rPr>
              <w:t>85%</w:t>
            </w:r>
            <w:r>
              <w:rPr>
                <w:rFonts w:hint="eastAsia" w:ascii="宋体" w:hAnsi="宋体"/>
                <w:sz w:val="24"/>
                <w:szCs w:val="24"/>
              </w:rPr>
              <w:t>，其副作用主要是第二肿瘤和不育症。另一个化疗方案</w:t>
            </w:r>
            <w:r>
              <w:rPr>
                <w:rFonts w:ascii="宋体" w:hAnsi="宋体"/>
                <w:sz w:val="24"/>
                <w:szCs w:val="24"/>
              </w:rPr>
              <w:t>ABVD（</w:t>
            </w:r>
            <w:r>
              <w:rPr>
                <w:rFonts w:hint="eastAsia" w:ascii="宋体" w:hAnsi="宋体"/>
                <w:sz w:val="24"/>
                <w:szCs w:val="24"/>
              </w:rPr>
              <w:t>阿霉素、博来霉素、长春花碱、甲氮咪胺），完全缓解率与</w:t>
            </w:r>
            <w:r>
              <w:rPr>
                <w:rFonts w:ascii="宋体" w:hAnsi="宋体"/>
                <w:sz w:val="24"/>
                <w:szCs w:val="24"/>
              </w:rPr>
              <w:t>MOPP</w:t>
            </w:r>
            <w:r>
              <w:rPr>
                <w:rFonts w:hint="eastAsia" w:ascii="宋体" w:hAnsi="宋体"/>
                <w:sz w:val="24"/>
                <w:szCs w:val="24"/>
              </w:rPr>
              <w:t>方案相似，因为此方案中没有烷化剂</w:t>
            </w:r>
          </w:p>
        </w:tc>
        <w:tc>
          <w:tcPr>
            <w:tcW w:w="2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ind w:firstLine="0" w:firstLineChars="0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方案常应用ABVD（阿霉素、博来霉素、长春花碱、甲氮咪胺），完全缓解率优于MOPP方案，因为此方案中没有烷化剂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758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ind w:firstLine="0" w:firstLineChars="0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864</w:t>
            </w:r>
          </w:p>
        </w:tc>
        <w:tc>
          <w:tcPr>
            <w:tcW w:w="18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spacing w:line="360" w:lineRule="auto"/>
              <w:ind w:firstLine="0" w:firstLineChars="0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70%完全缓解</w:t>
            </w:r>
          </w:p>
        </w:tc>
        <w:tc>
          <w:tcPr>
            <w:tcW w:w="2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ind w:firstLine="0" w:firstLineChars="0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不少于6个疗程，增加：应用新型靶向治疗药物如西达本胺、本那度胺、伊布替尼等可改善预后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758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ind w:firstLine="0" w:firstLineChars="0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864-866</w:t>
            </w:r>
          </w:p>
        </w:tc>
        <w:tc>
          <w:tcPr>
            <w:tcW w:w="18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spacing w:line="360" w:lineRule="auto"/>
              <w:ind w:firstLine="0" w:firstLineChars="0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ind w:firstLine="0" w:firstLineChars="0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第五节多发性骨髓瘤大变，其中有变为表格的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758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ind w:firstLine="0" w:firstLineChars="0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866</w:t>
            </w:r>
          </w:p>
        </w:tc>
        <w:tc>
          <w:tcPr>
            <w:tcW w:w="18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spacing w:line="360" w:lineRule="auto"/>
              <w:ind w:firstLine="0" w:firstLineChars="0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ind w:firstLine="0" w:firstLineChars="0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增加遗传性良性假性中性粒细胞减少症   常无脓液或仅有少量脓液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758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ind w:firstLine="0" w:firstLineChars="0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867</w:t>
            </w:r>
          </w:p>
        </w:tc>
        <w:tc>
          <w:tcPr>
            <w:tcW w:w="18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spacing w:line="360" w:lineRule="auto"/>
              <w:ind w:firstLine="0" w:firstLineChars="0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2-5  详见表15-5</w:t>
            </w:r>
          </w:p>
        </w:tc>
        <w:tc>
          <w:tcPr>
            <w:tcW w:w="2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ind w:firstLine="0" w:firstLineChars="0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2-10   详见表15-8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758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ind w:firstLine="0" w:firstLineChars="0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868</w:t>
            </w:r>
          </w:p>
        </w:tc>
        <w:tc>
          <w:tcPr>
            <w:tcW w:w="18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spacing w:line="360" w:lineRule="auto"/>
              <w:ind w:firstLine="0" w:firstLineChars="0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ind w:firstLine="0" w:firstLineChars="0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表格大变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758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ind w:firstLine="0" w:firstLineChars="0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869</w:t>
            </w:r>
          </w:p>
        </w:tc>
        <w:tc>
          <w:tcPr>
            <w:tcW w:w="18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spacing w:line="360" w:lineRule="auto"/>
              <w:ind w:firstLine="0" w:firstLineChars="0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  <w:t>原发性血小板病</w:t>
            </w:r>
          </w:p>
        </w:tc>
        <w:tc>
          <w:tcPr>
            <w:tcW w:w="2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ind w:firstLine="0" w:firstLineChars="0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  <w:t>删除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758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ind w:firstLine="0" w:firstLineChars="0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869</w:t>
            </w:r>
          </w:p>
        </w:tc>
        <w:tc>
          <w:tcPr>
            <w:tcW w:w="18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spacing w:line="360" w:lineRule="auto"/>
              <w:ind w:firstLine="0" w:firstLineChars="0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1/2-1小时      24小时</w:t>
            </w:r>
          </w:p>
        </w:tc>
        <w:tc>
          <w:tcPr>
            <w:tcW w:w="2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ind w:firstLine="0" w:firstLineChars="0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2小时     18-24小时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758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ind w:firstLine="0" w:firstLineChars="0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870</w:t>
            </w:r>
          </w:p>
        </w:tc>
        <w:tc>
          <w:tcPr>
            <w:tcW w:w="18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spacing w:line="360" w:lineRule="auto"/>
              <w:ind w:firstLine="0" w:firstLineChars="0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  <w:t>表</w:t>
            </w: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15-6</w:t>
            </w:r>
          </w:p>
        </w:tc>
        <w:tc>
          <w:tcPr>
            <w:tcW w:w="2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ind w:firstLine="0" w:firstLineChars="0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表15-9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758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ind w:firstLine="0" w:firstLineChars="0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872</w:t>
            </w:r>
          </w:p>
        </w:tc>
        <w:tc>
          <w:tcPr>
            <w:tcW w:w="18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spacing w:line="360" w:lineRule="auto"/>
              <w:ind w:firstLine="0" w:firstLineChars="0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  <w:t>特发性血小板减少性紫癜</w:t>
            </w:r>
          </w:p>
        </w:tc>
        <w:tc>
          <w:tcPr>
            <w:tcW w:w="2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ind w:firstLine="0" w:firstLineChars="0"/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变为：原发免疫性血小板减少症</w:t>
            </w:r>
          </w:p>
          <w:p>
            <w:pPr>
              <w:widowControl/>
              <w:spacing w:line="360" w:lineRule="auto"/>
              <w:ind w:firstLine="0" w:firstLineChars="0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增加：亦称特发性血小板减少性紫癜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758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ind w:firstLine="0" w:firstLineChars="0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873</w:t>
            </w:r>
          </w:p>
        </w:tc>
        <w:tc>
          <w:tcPr>
            <w:tcW w:w="18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spacing w:line="360" w:lineRule="auto"/>
              <w:ind w:firstLine="0" w:firstLineChars="0"/>
              <w:jc w:val="left"/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  <w:t>地塞米松</w:t>
            </w: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10-20mg/d</w:t>
            </w:r>
          </w:p>
          <w:p>
            <w:pPr>
              <w:autoSpaceDE w:val="0"/>
              <w:autoSpaceDN w:val="0"/>
              <w:adjustRightInd w:val="0"/>
              <w:spacing w:line="360" w:lineRule="auto"/>
              <w:ind w:firstLine="0" w:firstLineChars="0"/>
              <w:jc w:val="left"/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血浆置换</w:t>
            </w:r>
          </w:p>
          <w:p>
            <w:pPr>
              <w:spacing w:line="360" w:lineRule="auto"/>
              <w:ind w:firstLine="480"/>
              <w:rPr>
                <w:rFonts w:ascii="宋体" w:hAnsi="宋体"/>
                <w:color w:val="FF0000"/>
                <w:sz w:val="24"/>
                <w:szCs w:val="24"/>
              </w:rPr>
            </w:pPr>
            <w:r>
              <w:rPr>
                <w:rFonts w:hint="eastAsia" w:ascii="宋体" w:hAnsi="宋体"/>
                <w:color w:val="FF0000"/>
                <w:sz w:val="24"/>
                <w:szCs w:val="24"/>
              </w:rPr>
              <w:t>少数患者可根据情况选用氢化可的松或甲泼尼龙。</w:t>
            </w:r>
          </w:p>
          <w:p>
            <w:pPr>
              <w:autoSpaceDE w:val="0"/>
              <w:autoSpaceDN w:val="0"/>
              <w:adjustRightInd w:val="0"/>
              <w:spacing w:line="360" w:lineRule="auto"/>
              <w:ind w:firstLine="0" w:firstLineChars="0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ind w:firstLine="0" w:firstLineChars="0"/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 xml:space="preserve">增加Coombs实验可称阳性 </w:t>
            </w:r>
          </w:p>
          <w:p>
            <w:pPr>
              <w:widowControl/>
              <w:spacing w:line="360" w:lineRule="auto"/>
              <w:ind w:firstLine="0" w:firstLineChars="0"/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表的序号改变</w:t>
            </w:r>
          </w:p>
          <w:p>
            <w:pPr>
              <w:widowControl/>
              <w:spacing w:line="360" w:lineRule="auto"/>
              <w:ind w:firstLine="0" w:firstLineChars="0"/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  <w:t>变为</w:t>
            </w: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：</w:t>
            </w:r>
            <w:r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  <w:t>地塞米松</w:t>
            </w: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10-20mg/d</w:t>
            </w:r>
          </w:p>
          <w:p>
            <w:pPr>
              <w:widowControl/>
              <w:spacing w:line="360" w:lineRule="auto"/>
              <w:ind w:firstLine="0" w:firstLineChars="0"/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变为：促血小板生成药物，如重组人血小板生成素、艾曲帕及罗米司亭等。</w:t>
            </w:r>
          </w:p>
          <w:p>
            <w:pPr>
              <w:widowControl/>
              <w:spacing w:line="360" w:lineRule="auto"/>
              <w:ind w:firstLine="0" w:firstLineChars="0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删除红色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758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ind w:firstLine="0" w:firstLineChars="0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874</w:t>
            </w:r>
          </w:p>
        </w:tc>
        <w:tc>
          <w:tcPr>
            <w:tcW w:w="18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spacing w:line="360" w:lineRule="auto"/>
              <w:ind w:firstLine="0" w:firstLineChars="0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4-6周    达那唑300-600mg   2个月</w:t>
            </w:r>
          </w:p>
        </w:tc>
        <w:tc>
          <w:tcPr>
            <w:tcW w:w="2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ind w:firstLine="0" w:firstLineChars="0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  <w:t>分别变为</w:t>
            </w: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4周   达那唑0.4-0.8g   3个月    表格位置有变化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758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ind w:firstLine="0" w:firstLineChars="0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875</w:t>
            </w:r>
          </w:p>
        </w:tc>
        <w:tc>
          <w:tcPr>
            <w:tcW w:w="18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spacing w:line="360" w:lineRule="auto"/>
              <w:ind w:firstLine="0" w:firstLineChars="0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④抗凝治疗有效。</w:t>
            </w:r>
          </w:p>
        </w:tc>
        <w:tc>
          <w:tcPr>
            <w:tcW w:w="2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ind w:firstLine="0" w:firstLineChars="0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删除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758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ind w:firstLine="0" w:firstLineChars="0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875</w:t>
            </w:r>
          </w:p>
        </w:tc>
        <w:tc>
          <w:tcPr>
            <w:tcW w:w="18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spacing w:line="360" w:lineRule="auto"/>
              <w:ind w:firstLine="0" w:firstLineChars="0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60%-100%为最佳剂量</w:t>
            </w:r>
          </w:p>
        </w:tc>
        <w:tc>
          <w:tcPr>
            <w:tcW w:w="2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ind w:firstLine="0" w:firstLineChars="0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  <w:t>为正常值的</w:t>
            </w: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1.5-2.0倍时即为合适剂量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758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ind w:firstLine="0" w:firstLineChars="0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876</w:t>
            </w:r>
          </w:p>
        </w:tc>
        <w:tc>
          <w:tcPr>
            <w:tcW w:w="18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spacing w:line="360" w:lineRule="auto"/>
              <w:ind w:firstLine="0" w:firstLineChars="0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ind w:firstLine="0" w:firstLineChars="0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  <w:t>输血大变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758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ind w:firstLine="0" w:firstLineChars="0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spacing w:line="360" w:lineRule="auto"/>
              <w:ind w:firstLine="0" w:firstLineChars="0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ind w:firstLine="0" w:firstLineChars="0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758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ind w:firstLine="0" w:firstLineChars="0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spacing w:line="360" w:lineRule="auto"/>
              <w:ind w:firstLine="0" w:firstLineChars="0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ind w:firstLine="0" w:firstLineChars="0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</w:tr>
    </w:tbl>
    <w:tbl>
      <w:tblPr>
        <w:tblStyle w:val="7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0"/>
        <w:gridCol w:w="2841"/>
        <w:gridCol w:w="28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5" w:hRule="atLeast"/>
        </w:trPr>
        <w:tc>
          <w:tcPr>
            <w:tcW w:w="16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ind w:firstLine="420"/>
              <w:rPr>
                <w:rFonts w:ascii="Calibri" w:hAnsi="Calibri" w:eastAsia="宋体"/>
                <w:szCs w:val="21"/>
              </w:rPr>
            </w:pPr>
          </w:p>
        </w:tc>
        <w:tc>
          <w:tcPr>
            <w:tcW w:w="1666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ind w:firstLine="420"/>
              <w:rPr>
                <w:rFonts w:ascii="Calibri" w:hAnsi="Calibri" w:eastAsia="宋体"/>
                <w:szCs w:val="21"/>
              </w:rPr>
            </w:pPr>
            <w:r>
              <w:rPr>
                <w:rFonts w:hint="eastAsia"/>
              </w:rPr>
              <w:t>2019</w:t>
            </w:r>
          </w:p>
        </w:tc>
        <w:tc>
          <w:tcPr>
            <w:tcW w:w="1666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ind w:firstLine="420"/>
              <w:rPr>
                <w:rFonts w:ascii="Calibri" w:hAnsi="Calibri" w:eastAsia="宋体"/>
                <w:szCs w:val="21"/>
              </w:rPr>
            </w:pPr>
            <w:r>
              <w:rPr>
                <w:rFonts w:hint="eastAsia"/>
              </w:rPr>
              <w:t>2020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ind w:firstLine="420"/>
              <w:rPr>
                <w:rFonts w:ascii="Calibri" w:hAnsi="Calibri"/>
                <w:szCs w:val="21"/>
              </w:rPr>
            </w:pPr>
            <w:r>
              <w:rPr>
                <w:rFonts w:hint="eastAsia"/>
              </w:rPr>
              <w:t>1162</w:t>
            </w:r>
          </w:p>
          <w:p>
            <w:pPr>
              <w:ind w:firstLine="420"/>
              <w:rPr>
                <w:rFonts w:hint="eastAsia"/>
              </w:rPr>
            </w:pPr>
          </w:p>
          <w:p>
            <w:pPr>
              <w:ind w:firstLine="420"/>
              <w:rPr>
                <w:rFonts w:ascii="Calibri" w:hAnsi="Calibri" w:eastAsia="宋体"/>
                <w:szCs w:val="21"/>
              </w:rPr>
            </w:pPr>
          </w:p>
        </w:tc>
        <w:tc>
          <w:tcPr>
            <w:tcW w:w="1666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ind w:firstLine="480"/>
              <w:rPr>
                <w:rFonts w:ascii="Calibri" w:hAnsi="Calibri" w:eastAsia="宋体"/>
                <w:szCs w:val="21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间断气袋加压下肢和口服华法林（近期曾接受神经外科手术或有胃肠道出血的患者慎用）</w:t>
            </w:r>
          </w:p>
        </w:tc>
        <w:tc>
          <w:tcPr>
            <w:tcW w:w="1666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ind w:firstLine="480"/>
              <w:rPr>
                <w:rFonts w:ascii="Calibri" w:hAnsi="Calibri" w:eastAsia="宋体"/>
                <w:szCs w:val="21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间断气袋加压下肢（近期曾接受神经外科手术或有胃肠道出血的患者慎用）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ind w:firstLine="420"/>
              <w:rPr>
                <w:rFonts w:ascii="Calibri" w:hAnsi="Calibri" w:eastAsia="宋体"/>
                <w:szCs w:val="21"/>
              </w:rPr>
            </w:pPr>
            <w:r>
              <w:rPr>
                <w:rFonts w:hint="eastAsia"/>
              </w:rPr>
              <w:t>1167</w:t>
            </w:r>
          </w:p>
        </w:tc>
        <w:tc>
          <w:tcPr>
            <w:tcW w:w="1666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ind w:firstLine="480"/>
              <w:rPr>
                <w:rFonts w:ascii="Calibri" w:hAnsi="Calibri" w:eastAsia="宋体"/>
                <w:szCs w:val="21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溶液中需加正规胰岛素适量。</w:t>
            </w:r>
          </w:p>
        </w:tc>
        <w:tc>
          <w:tcPr>
            <w:tcW w:w="1666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ind w:firstLine="480"/>
              <w:rPr>
                <w:rFonts w:ascii="Calibri" w:hAnsi="Calibri" w:eastAsia="宋体"/>
                <w:szCs w:val="21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溶液中需常规加适量胰岛素适量。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ind w:firstLine="420"/>
              <w:rPr>
                <w:rFonts w:ascii="Calibri" w:hAnsi="Calibri" w:eastAsia="宋体"/>
                <w:szCs w:val="21"/>
              </w:rPr>
            </w:pPr>
            <w:r>
              <w:rPr>
                <w:rFonts w:hint="eastAsia"/>
              </w:rPr>
              <w:t>1171</w:t>
            </w:r>
          </w:p>
        </w:tc>
        <w:tc>
          <w:tcPr>
            <w:tcW w:w="1666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ind w:firstLine="420"/>
              <w:rPr>
                <w:rFonts w:ascii="Calibri" w:hAnsi="Calibri" w:eastAsia="宋体"/>
                <w:szCs w:val="21"/>
              </w:rPr>
            </w:pPr>
          </w:p>
        </w:tc>
        <w:tc>
          <w:tcPr>
            <w:tcW w:w="1666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ind w:firstLine="420"/>
              <w:rPr>
                <w:rFonts w:ascii="Calibri" w:hAnsi="Calibri"/>
                <w:szCs w:val="21"/>
              </w:rPr>
            </w:pPr>
            <w:r>
              <w:t>全身化脓性感染</w:t>
            </w:r>
            <w:r>
              <w:rPr>
                <w:rFonts w:hint="eastAsia"/>
              </w:rPr>
              <w:t>：</w:t>
            </w:r>
          </w:p>
          <w:p>
            <w:pPr>
              <w:ind w:firstLine="420"/>
              <w:rPr>
                <w:rFonts w:ascii="Calibri" w:hAnsi="Calibri" w:eastAsia="宋体"/>
                <w:szCs w:val="21"/>
              </w:rPr>
            </w:pPr>
            <w:r>
              <w:rPr>
                <w:rFonts w:hint="eastAsia"/>
              </w:rPr>
              <w:t>描述变化，意思基本没有变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ind w:firstLine="420"/>
              <w:rPr>
                <w:rFonts w:ascii="Calibri" w:hAnsi="Calibri" w:eastAsia="宋体"/>
                <w:szCs w:val="21"/>
              </w:rPr>
            </w:pPr>
            <w:r>
              <w:rPr>
                <w:rFonts w:hint="eastAsia"/>
              </w:rPr>
              <w:t>1188</w:t>
            </w:r>
          </w:p>
        </w:tc>
        <w:tc>
          <w:tcPr>
            <w:tcW w:w="1666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ind w:firstLine="482"/>
              <w:rPr>
                <w:rFonts w:ascii="Calibri" w:hAnsi="Calibri" w:eastAsia="宋体"/>
                <w:szCs w:val="21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中间型综合征</w:t>
            </w:r>
            <w:r>
              <w:rPr>
                <w:rFonts w:hint="eastAsia" w:ascii="宋体" w:hAnsi="宋体"/>
                <w:sz w:val="24"/>
                <w:szCs w:val="24"/>
              </w:rPr>
              <w:t xml:space="preserve">  多发生在重度中毒、中毒后24</w:t>
            </w:r>
            <w:r>
              <w:rPr>
                <w:rFonts w:hint="eastAsia" w:ascii="宋体" w:hAnsi="宋体" w:cs="MS Mincho"/>
                <w:sz w:val="24"/>
                <w:szCs w:val="24"/>
              </w:rPr>
              <w:t>～</w:t>
            </w:r>
            <w:r>
              <w:rPr>
                <w:rFonts w:hint="eastAsia" w:ascii="宋体" w:hAnsi="宋体"/>
                <w:sz w:val="24"/>
                <w:szCs w:val="24"/>
              </w:rPr>
              <w:t>48小时和复能药用量不足的患者，表现在经治疗胆碱能危象消失，意识清醒或未恢复意识，迟发性多发神经病发生前突然出现颈项肌、四肢近端肌无力和第Ⅲ、Ⅶ、Ⅸ、Ⅹ对脑神经支配的肌肉无力，引起通气障碍性呼吸困难或衰竭，可导致死亡。</w:t>
            </w:r>
          </w:p>
        </w:tc>
        <w:tc>
          <w:tcPr>
            <w:tcW w:w="1666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ind w:firstLine="482"/>
              <w:rPr>
                <w:rFonts w:ascii="Calibri" w:hAnsi="Calibri" w:eastAsia="宋体"/>
                <w:szCs w:val="21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中间型综合征</w:t>
            </w:r>
            <w:r>
              <w:rPr>
                <w:rFonts w:hint="eastAsia" w:ascii="宋体" w:hAnsi="宋体"/>
                <w:sz w:val="24"/>
                <w:szCs w:val="24"/>
              </w:rPr>
              <w:t xml:space="preserve">  多发生在重度中毒和复能药用量不足的患者，常出现在急性症状缓解后，约中毒后24</w:t>
            </w:r>
            <w:r>
              <w:rPr>
                <w:rFonts w:hint="eastAsia" w:ascii="宋体" w:hAnsi="宋体" w:cs="MS Mincho"/>
                <w:sz w:val="24"/>
                <w:szCs w:val="24"/>
              </w:rPr>
              <w:t>～</w:t>
            </w:r>
            <w:r>
              <w:rPr>
                <w:rFonts w:hint="eastAsia" w:ascii="宋体" w:hAnsi="宋体"/>
                <w:sz w:val="24"/>
                <w:szCs w:val="24"/>
              </w:rPr>
              <w:t>96小时突然出现颈项肌、四肢近端肌无力和第Ⅲ、Ⅶ、Ⅸ、Ⅹ对脑神经支配的肌肉无力，引起通气障碍性呼吸困难或衰竭，可导致死亡。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ind w:firstLine="420"/>
              <w:rPr>
                <w:rFonts w:ascii="Calibri" w:hAnsi="Calibri" w:eastAsia="宋体"/>
                <w:szCs w:val="21"/>
              </w:rPr>
            </w:pPr>
            <w:r>
              <w:rPr>
                <w:rFonts w:hint="eastAsia"/>
              </w:rPr>
              <w:t>1194</w:t>
            </w:r>
          </w:p>
        </w:tc>
        <w:tc>
          <w:tcPr>
            <w:tcW w:w="1666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spacing w:line="360" w:lineRule="auto"/>
              <w:ind w:left="560" w:firstLine="480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（3）补液：葡萄糖。</w:t>
            </w:r>
          </w:p>
          <w:p>
            <w:pPr>
              <w:spacing w:line="360" w:lineRule="auto"/>
              <w:ind w:left="560" w:firstLine="480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（4）重型：抗休克，液体复苏。</w:t>
            </w:r>
          </w:p>
          <w:p>
            <w:pPr>
              <w:spacing w:line="360" w:lineRule="auto"/>
              <w:ind w:left="560" w:firstLine="480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（5）极重型：防止脏器功能衰竭、机械通气、处理心律失常及心功能不全、预防肾功能衰竭,必要时透析。</w:t>
            </w:r>
          </w:p>
          <w:p>
            <w:pPr>
              <w:ind w:firstLine="420"/>
              <w:rPr>
                <w:rFonts w:ascii="Calibri" w:hAnsi="Calibri" w:eastAsia="宋体"/>
                <w:szCs w:val="21"/>
              </w:rPr>
            </w:pPr>
          </w:p>
        </w:tc>
        <w:tc>
          <w:tcPr>
            <w:tcW w:w="1666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ind w:firstLine="420"/>
              <w:rPr>
                <w:rFonts w:ascii="Calibri" w:hAnsi="Calibri" w:eastAsia="宋体"/>
                <w:szCs w:val="21"/>
              </w:rPr>
            </w:pPr>
            <w:r>
              <w:rPr>
                <w:rFonts w:hint="eastAsia"/>
              </w:rPr>
              <w:t>（3</w:t>
            </w:r>
            <w:r>
              <w:rPr>
                <w:rFonts w:hint="eastAsia" w:ascii="宋体" w:hAnsi="宋体"/>
              </w:rPr>
              <w:t>）重型：</w:t>
            </w:r>
            <w:r>
              <w:rPr>
                <w:rFonts w:hint="eastAsia" w:ascii="宋体" w:hAnsi="宋体"/>
                <w:color w:val="000000"/>
                <w:sz w:val="24"/>
                <w:szCs w:val="24"/>
              </w:rPr>
              <w:t>抗休克，液体复苏。防止脏器功能衰竭、机械通气、处理心律失常及心功能不全、预防肾功能衰竭,必要时透析。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ind w:firstLine="420"/>
              <w:rPr>
                <w:rFonts w:ascii="Calibri" w:hAnsi="Calibri" w:eastAsia="宋体"/>
                <w:szCs w:val="21"/>
              </w:rPr>
            </w:pPr>
            <w:r>
              <w:rPr>
                <w:rFonts w:hint="eastAsia"/>
              </w:rPr>
              <w:t>1193</w:t>
            </w:r>
          </w:p>
        </w:tc>
        <w:tc>
          <w:tcPr>
            <w:tcW w:w="1666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spacing w:line="360" w:lineRule="auto"/>
              <w:ind w:left="560" w:firstLine="480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（4）对症治疗：多数镇静催眠类药物中毒以对症支持治疗为主，特别是吩噻嗪类药物中毒。吩噻嗪类药物中毒出现低血压时，应积极补充血容量，以维持血压。拟交感神经药物很少需用，必要时可考虑去甲肾上腺素或盐酸去氧肾上腺素（新福林）等α受体激动剂；具有β受体激动作用升压药物如肾上腺素、异丙基肾上腺素及多巴胺，即使用小剂量，也应避免使用，否则可加重低血压（因周围β受体激动有血管扩张作用）。</w:t>
            </w:r>
          </w:p>
          <w:p>
            <w:pPr>
              <w:spacing w:line="360" w:lineRule="auto"/>
              <w:ind w:left="560" w:firstLine="480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（5）专科会诊：应请精神科专科医师会诊。</w:t>
            </w:r>
          </w:p>
          <w:p>
            <w:pPr>
              <w:ind w:firstLine="420"/>
              <w:rPr>
                <w:rFonts w:ascii="Calibri" w:hAnsi="Calibri" w:eastAsia="宋体"/>
                <w:szCs w:val="21"/>
              </w:rPr>
            </w:pPr>
          </w:p>
        </w:tc>
        <w:tc>
          <w:tcPr>
            <w:tcW w:w="1666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ind w:firstLine="420"/>
              <w:rPr>
                <w:rFonts w:ascii="Calibri" w:hAnsi="Calibri" w:eastAsia="宋体"/>
                <w:szCs w:val="21"/>
              </w:rPr>
            </w:pPr>
            <w:r>
              <w:t>删除</w:t>
            </w:r>
          </w:p>
        </w:tc>
      </w:tr>
    </w:tbl>
    <w:p>
      <w:pPr>
        <w:ind w:firstLine="420"/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ngLiU">
    <w:panose1 w:val="02020509000000000000"/>
    <w:charset w:val="88"/>
    <w:family w:val="modern"/>
    <w:pitch w:val="default"/>
    <w:sig w:usb0="A00002FF" w:usb1="28CFFCFA" w:usb2="00000016" w:usb3="00000000" w:csb0="00100001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ind w:firstLine="360"/>
      <w:jc w:val="center"/>
    </w:pPr>
    <w:r>
      <w:t>www.med66.com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ind w:firstLine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ind w:firstLine="360"/>
      <w:jc w:val="both"/>
    </w:pPr>
    <w:r>
      <w:pict>
        <v:shape id="WordPictureWatermark18629875" o:spid="_x0000_s4098" o:spt="75" type="#_x0000_t75" style="position:absolute;left:0pt;height:587.05pt;width:415.15pt;mso-position-horizontal:center;mso-position-horizontal-relative:margin;mso-position-vertical:center;mso-position-vertical-relative:margin;z-index:-251656192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1" o:title="水印word"/>
          <o:lock v:ext="edit" aspectratio="t"/>
        </v:shape>
      </w:pict>
    </w:r>
    <w:r>
      <w:drawing>
        <wp:inline distT="0" distB="0" distL="0" distR="0">
          <wp:extent cx="1219200" cy="320675"/>
          <wp:effectExtent l="19050" t="0" r="0" b="0"/>
          <wp:docPr id="1" name="图片 0" descr="广告水印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0" descr="广告水印.png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219200" cy="32084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hint="eastAsia"/>
      </w:rPr>
      <w:t>20年临床医师讨论：431635329，微信公众号：yishi_med66，客服电话010-82311666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ind w:firstLine="360"/>
    </w:pPr>
    <w:r>
      <w:pict>
        <v:shape id="WordPictureWatermark18629874" o:spid="_x0000_s4099" o:spt="75" type="#_x0000_t75" style="position:absolute;left:0pt;height:587.05pt;width:415.15pt;mso-position-horizontal:center;mso-position-horizontal-relative:margin;mso-position-vertical:center;mso-position-vertical-relative:margin;z-index:-251657216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1" o:title="水印word"/>
          <o:lock v:ext="edit" aspectratio="t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ind w:firstLine="360"/>
    </w:pPr>
    <w:r>
      <w:pict>
        <v:shape id="WordPictureWatermark18629873" o:spid="_x0000_s4097" o:spt="75" type="#_x0000_t75" style="position:absolute;left:0pt;height:587.05pt;width:415.15pt;mso-position-horizontal:center;mso-position-horizontal-relative:margin;mso-position-vertical:center;mso-position-vertical-relative:margin;z-index:-251658240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1" o:title="水印word"/>
          <o:lock v:ext="edit" aspectratio="t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E7838"/>
    <w:rsid w:val="00055D20"/>
    <w:rsid w:val="00081DC1"/>
    <w:rsid w:val="000D1B60"/>
    <w:rsid w:val="001443FD"/>
    <w:rsid w:val="001507A7"/>
    <w:rsid w:val="002B04ED"/>
    <w:rsid w:val="002B793F"/>
    <w:rsid w:val="002E4466"/>
    <w:rsid w:val="0035677F"/>
    <w:rsid w:val="00366A59"/>
    <w:rsid w:val="004048C5"/>
    <w:rsid w:val="00412BE5"/>
    <w:rsid w:val="00447487"/>
    <w:rsid w:val="004B3E02"/>
    <w:rsid w:val="00501136"/>
    <w:rsid w:val="00513BAE"/>
    <w:rsid w:val="00546F7B"/>
    <w:rsid w:val="00552865"/>
    <w:rsid w:val="00563201"/>
    <w:rsid w:val="005B660F"/>
    <w:rsid w:val="005D08EA"/>
    <w:rsid w:val="005F17DE"/>
    <w:rsid w:val="0060149B"/>
    <w:rsid w:val="006072C7"/>
    <w:rsid w:val="00633352"/>
    <w:rsid w:val="00660F67"/>
    <w:rsid w:val="00683BDC"/>
    <w:rsid w:val="006A1A0A"/>
    <w:rsid w:val="006D0C94"/>
    <w:rsid w:val="006D7005"/>
    <w:rsid w:val="007015E9"/>
    <w:rsid w:val="007862BF"/>
    <w:rsid w:val="007D1392"/>
    <w:rsid w:val="007F254D"/>
    <w:rsid w:val="008137DA"/>
    <w:rsid w:val="0082125A"/>
    <w:rsid w:val="008B6795"/>
    <w:rsid w:val="008C256C"/>
    <w:rsid w:val="00907E4F"/>
    <w:rsid w:val="009168D7"/>
    <w:rsid w:val="00925A54"/>
    <w:rsid w:val="00926E63"/>
    <w:rsid w:val="00930C37"/>
    <w:rsid w:val="00932AF2"/>
    <w:rsid w:val="00946DC3"/>
    <w:rsid w:val="009510BA"/>
    <w:rsid w:val="00961F95"/>
    <w:rsid w:val="00963B47"/>
    <w:rsid w:val="00971635"/>
    <w:rsid w:val="00985970"/>
    <w:rsid w:val="00AC669C"/>
    <w:rsid w:val="00AE7838"/>
    <w:rsid w:val="00B33330"/>
    <w:rsid w:val="00B73D40"/>
    <w:rsid w:val="00BE696B"/>
    <w:rsid w:val="00CF7CB0"/>
    <w:rsid w:val="00DA6986"/>
    <w:rsid w:val="00E21433"/>
    <w:rsid w:val="00E900D1"/>
    <w:rsid w:val="00EA63E4"/>
    <w:rsid w:val="00EC3B9A"/>
    <w:rsid w:val="00F5089B"/>
    <w:rsid w:val="00FA2203"/>
    <w:rsid w:val="00FD3B9C"/>
    <w:rsid w:val="00FD4BC9"/>
    <w:rsid w:val="00FD7CD2"/>
    <w:rsid w:val="3A9230C7"/>
    <w:rsid w:val="54542BB5"/>
    <w:rsid w:val="6FE440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ind w:firstLine="200" w:firstLineChars="20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3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1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uiPriority w:val="99"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7">
    <w:name w:val="Table Grid"/>
    <w:basedOn w:val="6"/>
    <w:uiPriority w:val="9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9">
    <w:name w:val="Strong"/>
    <w:basedOn w:val="8"/>
    <w:qFormat/>
    <w:uiPriority w:val="0"/>
    <w:rPr>
      <w:b/>
    </w:rPr>
  </w:style>
  <w:style w:type="character" w:styleId="10">
    <w:name w:val="Hyperlink"/>
    <w:basedOn w:val="8"/>
    <w:qFormat/>
    <w:uiPriority w:val="0"/>
    <w:rPr>
      <w:color w:val="0000FF"/>
      <w:u w:val="single"/>
    </w:rPr>
  </w:style>
  <w:style w:type="character" w:customStyle="1" w:styleId="11">
    <w:name w:val="页眉 Char"/>
    <w:basedOn w:val="8"/>
    <w:link w:val="4"/>
    <w:semiHidden/>
    <w:qFormat/>
    <w:uiPriority w:val="99"/>
    <w:rPr>
      <w:sz w:val="18"/>
      <w:szCs w:val="18"/>
    </w:rPr>
  </w:style>
  <w:style w:type="character" w:customStyle="1" w:styleId="12">
    <w:name w:val="页脚 Char"/>
    <w:basedOn w:val="8"/>
    <w:link w:val="3"/>
    <w:qFormat/>
    <w:uiPriority w:val="99"/>
    <w:rPr>
      <w:sz w:val="18"/>
      <w:szCs w:val="18"/>
    </w:rPr>
  </w:style>
  <w:style w:type="character" w:customStyle="1" w:styleId="13">
    <w:name w:val="批注框文本 Char"/>
    <w:basedOn w:val="8"/>
    <w:link w:val="2"/>
    <w:semiHidden/>
    <w:qFormat/>
    <w:uiPriority w:val="99"/>
    <w:rPr>
      <w:sz w:val="18"/>
      <w:szCs w:val="18"/>
    </w:rPr>
  </w:style>
  <w:style w:type="character" w:customStyle="1" w:styleId="14">
    <w:name w:val="time3"/>
    <w:basedOn w:val="8"/>
    <w:qFormat/>
    <w:uiPriority w:val="0"/>
  </w:style>
  <w:style w:type="paragraph" w:customStyle="1" w:styleId="15">
    <w:name w:val="Default"/>
    <w:basedOn w:val="1"/>
    <w:uiPriority w:val="0"/>
    <w:pPr>
      <w:autoSpaceDE w:val="0"/>
      <w:autoSpaceDN w:val="0"/>
      <w:adjustRightInd w:val="0"/>
      <w:ind w:firstLine="0" w:firstLineChars="0"/>
      <w:jc w:val="left"/>
    </w:pPr>
    <w:rPr>
      <w:rFonts w:ascii="MingLiU" w:hAnsi="Calibri" w:eastAsia="MingLiU" w:cs="宋体"/>
      <w:color w:val="000000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2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8"/>
    <customShpInfo spid="_x0000_s4099"/>
    <customShpInfo spid="_x0000_s4097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6673B71-8F1C-4F21-8540-46239787DF2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118</Words>
  <Characters>673</Characters>
  <Lines>5</Lines>
  <Paragraphs>1</Paragraphs>
  <TotalTime>1</TotalTime>
  <ScaleCrop>false</ScaleCrop>
  <LinksUpToDate>false</LinksUpToDate>
  <CharactersWithSpaces>790</CharactersWithSpaces>
  <Application>WPS Office_11.1.0.9305_F1E327BC-269C-435d-A152-05C5408002CA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2019-12-05T02:26:00Z</dcterms:created>
  <dc:creator>DELL</dc:creator>
  <cp:lastModifiedBy>dell</cp:lastModifiedBy>
  <cp:lastPrinted>2018-12-12T03:32:00Z</cp:lastPrinted>
  <dcterms:modified xsi:type="dcterms:W3CDTF">2019-12-05T02:56:38Z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2052-11.1.0.9305</vt:lpwstr>
  </property>
</Properties>
</file>