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840"/>
        <w:gridCol w:w="2841"/>
        <w:gridCol w:w="284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1" w:hRule="atLeast"/>
        </w:trPr>
        <w:tc>
          <w:tcPr>
            <w:tcW w:w="1666" w:type="pct"/>
          </w:tcPr>
          <w:p/>
        </w:tc>
        <w:tc>
          <w:tcPr>
            <w:tcW w:w="1667" w:type="pct"/>
          </w:tcPr>
          <w:p>
            <w:r>
              <w:rPr>
                <w:rFonts w:hint="eastAsia"/>
              </w:rPr>
              <w:t>2019</w:t>
            </w:r>
          </w:p>
        </w:tc>
        <w:tc>
          <w:tcPr>
            <w:tcW w:w="1667" w:type="pct"/>
          </w:tcPr>
          <w:p>
            <w:r>
              <w:rPr>
                <w:rFonts w:hint="eastAsia"/>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7" w:hRule="atLeast"/>
        </w:trPr>
        <w:tc>
          <w:tcPr>
            <w:tcW w:w="1666" w:type="pct"/>
          </w:tcPr>
          <w:p>
            <w:r>
              <w:rPr>
                <w:rFonts w:hint="eastAsia"/>
              </w:rPr>
              <w:t>998</w:t>
            </w:r>
          </w:p>
        </w:tc>
        <w:tc>
          <w:tcPr>
            <w:tcW w:w="1667" w:type="pct"/>
          </w:tcPr>
          <w:p/>
        </w:tc>
        <w:tc>
          <w:tcPr>
            <w:tcW w:w="1667" w:type="pct"/>
          </w:tcPr>
          <w:p>
            <w:r>
              <w:t>成因加</w:t>
            </w:r>
            <w:r>
              <w:rPr>
                <w:rFonts w:hint="eastAsia"/>
              </w:rPr>
              <w:t>：（4）病理因素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3" w:hRule="atLeast"/>
        </w:trPr>
        <w:tc>
          <w:tcPr>
            <w:tcW w:w="1666" w:type="pct"/>
          </w:tcPr>
          <w:p>
            <w:r>
              <w:rPr>
                <w:rFonts w:hint="eastAsia"/>
              </w:rPr>
              <w:t>998</w:t>
            </w:r>
          </w:p>
        </w:tc>
        <w:tc>
          <w:tcPr>
            <w:tcW w:w="1667" w:type="pct"/>
          </w:tcPr>
          <w:p>
            <w:r>
              <w:rPr>
                <w:rFonts w:hint="eastAsia" w:ascii="宋体" w:hAnsi="宋体"/>
                <w:color w:val="000000"/>
                <w:sz w:val="24"/>
                <w:szCs w:val="24"/>
              </w:rPr>
              <w:t>骨骺分离</w:t>
            </w:r>
          </w:p>
        </w:tc>
        <w:tc>
          <w:tcPr>
            <w:tcW w:w="1667" w:type="pct"/>
          </w:tcPr>
          <w:p>
            <w:r>
              <w:rPr>
                <w:rFonts w:hint="eastAsia"/>
              </w:rPr>
              <w:t>骨骺损伤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4" w:hRule="atLeast"/>
        </w:trPr>
        <w:tc>
          <w:tcPr>
            <w:tcW w:w="1666" w:type="pct"/>
          </w:tcPr>
          <w:p>
            <w:r>
              <w:rPr>
                <w:rFonts w:hint="eastAsia"/>
              </w:rPr>
              <w:t>999</w:t>
            </w:r>
          </w:p>
        </w:tc>
        <w:tc>
          <w:tcPr>
            <w:tcW w:w="1667" w:type="pct"/>
          </w:tcPr>
          <w:p/>
        </w:tc>
        <w:tc>
          <w:tcPr>
            <w:tcW w:w="1667" w:type="pct"/>
          </w:tcPr>
          <w:p>
            <w:r>
              <w:rPr>
                <w:rFonts w:hint="eastAsia"/>
              </w:rPr>
              <w:t>“应于伤后2周拍片检查”后新加“此时，因骨折端吸收，可出现骨折线”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4" w:hRule="atLeast"/>
        </w:trPr>
        <w:tc>
          <w:tcPr>
            <w:tcW w:w="1666" w:type="pct"/>
          </w:tcPr>
          <w:p>
            <w:r>
              <w:rPr>
                <w:rFonts w:hint="eastAsia"/>
              </w:rPr>
              <w:t>1000</w:t>
            </w:r>
          </w:p>
        </w:tc>
        <w:tc>
          <w:tcPr>
            <w:tcW w:w="1667" w:type="pct"/>
          </w:tcPr>
          <w:p>
            <w:r>
              <w:rPr>
                <w:rFonts w:hint="eastAsia" w:ascii="宋体" w:hAnsi="宋体"/>
                <w:color w:val="000000"/>
                <w:sz w:val="24"/>
                <w:szCs w:val="24"/>
              </w:rPr>
              <w:t>创伤性关节炎：关节内骨折未准确复位</w:t>
            </w:r>
          </w:p>
        </w:tc>
        <w:tc>
          <w:tcPr>
            <w:tcW w:w="1667" w:type="pct"/>
          </w:tcPr>
          <w:p>
            <w:r>
              <w:rPr>
                <w:rFonts w:hint="eastAsia" w:ascii="宋体" w:hAnsi="宋体"/>
                <w:color w:val="000000"/>
                <w:sz w:val="24"/>
                <w:szCs w:val="24"/>
              </w:rPr>
              <w:t>创伤性关节炎：关节内骨折未解剖复位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8" w:hRule="atLeast"/>
        </w:trPr>
        <w:tc>
          <w:tcPr>
            <w:tcW w:w="1666" w:type="pct"/>
          </w:tcPr>
          <w:p>
            <w:r>
              <w:rPr>
                <w:rFonts w:hint="eastAsia"/>
              </w:rPr>
              <w:t>1000</w:t>
            </w:r>
          </w:p>
        </w:tc>
        <w:tc>
          <w:tcPr>
            <w:tcW w:w="1667" w:type="pct"/>
          </w:tcPr>
          <w:p>
            <w:r>
              <w:rPr>
                <w:rFonts w:hint="eastAsia" w:ascii="宋体" w:hAnsi="宋体"/>
                <w:color w:val="000000"/>
                <w:sz w:val="24"/>
                <w:szCs w:val="24"/>
              </w:rPr>
              <w:t>关节僵硬：是骨折和关节损伤最为常见的并发症。</w:t>
            </w:r>
          </w:p>
        </w:tc>
        <w:tc>
          <w:tcPr>
            <w:tcW w:w="1667" w:type="pct"/>
          </w:tcPr>
          <w:p>
            <w:r>
              <w:t>患肢长时间固定</w:t>
            </w:r>
            <w:r>
              <w:rPr>
                <w:rFonts w:hint="eastAsia"/>
              </w:rPr>
              <w:t>，</w:t>
            </w:r>
            <w:r>
              <w:t>致使关节周围组织发生纤维粘连</w:t>
            </w:r>
            <w:r>
              <w:rPr>
                <w:rFonts w:hint="eastAsia"/>
              </w:rPr>
              <w:t>，</w:t>
            </w:r>
            <w:r>
              <w:t>关节囊和肌肉痉挛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1000</w:t>
            </w:r>
          </w:p>
        </w:tc>
        <w:tc>
          <w:tcPr>
            <w:tcW w:w="1667" w:type="pct"/>
          </w:tcPr>
          <w:p/>
        </w:tc>
        <w:tc>
          <w:tcPr>
            <w:tcW w:w="1667" w:type="pct"/>
          </w:tcPr>
          <w:p>
            <w:pPr>
              <w:rPr>
                <w:rFonts w:hint="eastAsia" w:ascii="宋体" w:hAnsi="宋体"/>
                <w:color w:val="000000"/>
                <w:sz w:val="24"/>
                <w:szCs w:val="24"/>
              </w:rPr>
            </w:pPr>
            <w:r>
              <w:rPr>
                <w:rFonts w:hint="eastAsia" w:ascii="宋体" w:hAnsi="宋体"/>
                <w:color w:val="000000"/>
                <w:sz w:val="24"/>
                <w:szCs w:val="24"/>
              </w:rPr>
              <w:t>临床上骨折愈合过程多为二期愈合。</w:t>
            </w:r>
          </w:p>
          <w:p>
            <w:r>
              <w:rPr>
                <w:rFonts w:hint="eastAsia" w:ascii="宋体" w:hAnsi="宋体"/>
                <w:color w:val="000000"/>
                <w:sz w:val="24"/>
                <w:szCs w:val="24"/>
              </w:rPr>
              <w:t>后面新加“是膜内化骨与软骨内化骨两种成骨方式的结合，有骨痂形成”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1000</w:t>
            </w:r>
          </w:p>
        </w:tc>
        <w:tc>
          <w:tcPr>
            <w:tcW w:w="1667" w:type="pct"/>
          </w:tcPr>
          <w:p/>
        </w:tc>
        <w:tc>
          <w:tcPr>
            <w:tcW w:w="1667" w:type="pct"/>
          </w:tcPr>
          <w:p>
            <w:r>
              <w:rPr>
                <w:rFonts w:hint="eastAsia" w:ascii="宋体" w:hAnsi="宋体"/>
                <w:color w:val="000000"/>
                <w:sz w:val="24"/>
                <w:szCs w:val="24"/>
              </w:rPr>
              <w:t>形成新骨-骨痂。后新加“有分为内骨痂和外骨痂”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1000</w:t>
            </w:r>
          </w:p>
        </w:tc>
        <w:tc>
          <w:tcPr>
            <w:tcW w:w="1667" w:type="pct"/>
          </w:tcPr>
          <w:p>
            <w:r>
              <w:rPr>
                <w:rFonts w:hint="eastAsia" w:ascii="宋体" w:hAnsi="宋体"/>
                <w:color w:val="000000"/>
                <w:sz w:val="24"/>
                <w:szCs w:val="24"/>
              </w:rPr>
              <w:t>骨折达到临床愈合，在成人一般约需4～8周。</w:t>
            </w:r>
          </w:p>
        </w:tc>
        <w:tc>
          <w:tcPr>
            <w:tcW w:w="1667" w:type="pct"/>
          </w:tcPr>
          <w:p>
            <w:pPr>
              <w:rPr>
                <w:rFonts w:hint="eastAsia" w:ascii="宋体" w:hAnsi="宋体"/>
                <w:color w:val="000000"/>
                <w:sz w:val="24"/>
                <w:szCs w:val="24"/>
              </w:rPr>
            </w:pPr>
            <w:r>
              <w:rPr>
                <w:rFonts w:hint="eastAsia" w:ascii="宋体" w:hAnsi="宋体"/>
                <w:color w:val="000000"/>
                <w:sz w:val="24"/>
                <w:szCs w:val="24"/>
              </w:rPr>
              <w:t>骨折达到临床愈合，在成人一般约需3～6个月</w:t>
            </w:r>
          </w:p>
          <w:p>
            <w:r>
              <w:rPr>
                <w:rFonts w:hint="eastAsia" w:ascii="宋体" w:hAnsi="宋体"/>
                <w:color w:val="000000"/>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1000</w:t>
            </w:r>
          </w:p>
        </w:tc>
        <w:tc>
          <w:tcPr>
            <w:tcW w:w="1667" w:type="pct"/>
          </w:tcPr>
          <w:p>
            <w:r>
              <w:rPr>
                <w:rFonts w:hint="eastAsia" w:ascii="宋体" w:hAnsi="宋体"/>
                <w:color w:val="000000"/>
                <w:sz w:val="24"/>
                <w:szCs w:val="24"/>
              </w:rPr>
              <w:t>骨痂改造塑形期：原始骨痂被板层骨所替代，使骨折部位形成坚强的骨性连接，这一过程约需8～12年。</w:t>
            </w:r>
          </w:p>
        </w:tc>
        <w:tc>
          <w:tcPr>
            <w:tcW w:w="1667" w:type="pct"/>
          </w:tcPr>
          <w:p>
            <w:r>
              <w:rPr>
                <w:rFonts w:hint="eastAsia" w:ascii="宋体" w:hAnsi="宋体"/>
                <w:color w:val="000000"/>
                <w:sz w:val="24"/>
                <w:szCs w:val="24"/>
              </w:rPr>
              <w:t>骨痂改造塑形期：原始骨痂被板层骨所替代，使骨折部位形成坚强的骨性连接，这一过程约需1～2年。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1000</w:t>
            </w:r>
          </w:p>
        </w:tc>
        <w:tc>
          <w:tcPr>
            <w:tcW w:w="1667" w:type="pct"/>
          </w:tcPr>
          <w:p>
            <w:r>
              <w:rPr>
                <w:rFonts w:ascii="宋体" w:hAnsi="宋体"/>
                <w:color w:val="000000"/>
                <w:sz w:val="24"/>
                <w:szCs w:val="24"/>
              </w:rPr>
              <w:fldChar w:fldCharType="begin"/>
            </w:r>
            <w:r>
              <w:rPr>
                <w:rFonts w:ascii="宋体" w:hAnsi="宋体"/>
                <w:color w:val="000000"/>
                <w:sz w:val="24"/>
                <w:szCs w:val="24"/>
              </w:rPr>
              <w:instrText xml:space="preserve"> </w:instrText>
            </w:r>
            <w:r>
              <w:rPr>
                <w:rFonts w:hint="eastAsia" w:ascii="宋体" w:hAnsi="宋体"/>
                <w:color w:val="000000"/>
                <w:sz w:val="24"/>
                <w:szCs w:val="24"/>
              </w:rPr>
              <w:instrText xml:space="preserve">= 4 \* GB3</w:instrText>
            </w:r>
            <w:r>
              <w:rPr>
                <w:rFonts w:ascii="宋体" w:hAnsi="宋体"/>
                <w:color w:val="000000"/>
                <w:sz w:val="24"/>
                <w:szCs w:val="24"/>
              </w:rPr>
              <w:instrText xml:space="preserve"> </w:instrText>
            </w:r>
            <w:r>
              <w:rPr>
                <w:rFonts w:ascii="宋体" w:hAnsi="宋体"/>
                <w:color w:val="000000"/>
                <w:sz w:val="24"/>
                <w:szCs w:val="24"/>
              </w:rPr>
              <w:fldChar w:fldCharType="separate"/>
            </w:r>
            <w:r>
              <w:rPr>
                <w:rFonts w:hint="eastAsia" w:ascii="宋体" w:hAnsi="宋体"/>
                <w:color w:val="000000"/>
                <w:sz w:val="24"/>
                <w:szCs w:val="24"/>
                <w:lang w:val="en-US" w:eastAsia="zh-CN"/>
              </w:rPr>
              <w:t>④</w:t>
            </w:r>
            <w:r>
              <w:rPr>
                <w:rFonts w:ascii="宋体" w:hAnsi="宋体"/>
                <w:color w:val="000000"/>
                <w:sz w:val="24"/>
                <w:szCs w:val="24"/>
              </w:rPr>
              <w:fldChar w:fldCharType="end"/>
            </w:r>
            <w:r>
              <w:rPr>
                <w:rFonts w:hint="eastAsia" w:ascii="宋体" w:hAnsi="宋体"/>
                <w:color w:val="000000"/>
                <w:sz w:val="24"/>
                <w:szCs w:val="24"/>
              </w:rPr>
              <w:t>拆除外固定后，如为上肢能向前平举1kg重物持续达1分钟；如为下肢不扶拐能在平地连续步行3分钟，并不少于30步；连续观察2周骨折处不变形。临床愈合时间为最后一次复位之日至观察达到临床愈合之日所需的时间。检查肢体异常活动和肢体负重情况时应予慎重，不宜解除固定后立即进行。</w:t>
            </w:r>
          </w:p>
        </w:tc>
        <w:tc>
          <w:tcPr>
            <w:tcW w:w="1667" w:type="pct"/>
          </w:tcPr>
          <w:p>
            <w: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pPr>
              <w:rPr>
                <w:rFonts w:hint="eastAsia"/>
              </w:rPr>
            </w:pPr>
            <w:r>
              <w:rPr>
                <w:rFonts w:hint="eastAsia"/>
              </w:rPr>
              <w:t>1001</w:t>
            </w:r>
          </w:p>
          <w:p/>
        </w:tc>
        <w:tc>
          <w:tcPr>
            <w:tcW w:w="1667" w:type="pct"/>
          </w:tcPr>
          <w:p>
            <w:r>
              <w:rPr>
                <w:rFonts w:hint="eastAsia" w:ascii="宋体" w:hAnsi="宋体"/>
                <w:color w:val="000000"/>
                <w:sz w:val="24"/>
                <w:szCs w:val="24"/>
              </w:rPr>
              <w:t>手法复位，其优点是无创伤，不破坏骨折部位的血液供应，缺点是不易达到骨折解剖复位</w:t>
            </w:r>
          </w:p>
        </w:tc>
        <w:tc>
          <w:tcPr>
            <w:tcW w:w="1667" w:type="pct"/>
          </w:tcPr>
          <w:p>
            <w:r>
              <w:rPr>
                <w:rFonts w:hint="eastAsia" w:ascii="宋体" w:hAnsi="宋体"/>
                <w:color w:val="000000"/>
                <w:sz w:val="24"/>
                <w:szCs w:val="24"/>
              </w:rPr>
              <w:t>手法复位，其优点是创伤小，不破坏骨折部位的血液供应，缺点是不易达到骨折解剖复位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1002</w:t>
            </w:r>
          </w:p>
        </w:tc>
        <w:tc>
          <w:tcPr>
            <w:tcW w:w="1667" w:type="pct"/>
          </w:tcPr>
          <w:p>
            <w:r>
              <w:rPr>
                <w:rFonts w:hint="eastAsia" w:ascii="宋体" w:hAnsi="宋体"/>
                <w:color w:val="000000"/>
                <w:sz w:val="24"/>
                <w:szCs w:val="24"/>
              </w:rPr>
              <w:t>有移位的中段骨折，采用手法复位，横“8”字绷带固定。</w:t>
            </w:r>
          </w:p>
        </w:tc>
        <w:tc>
          <w:tcPr>
            <w:tcW w:w="1667" w:type="pct"/>
          </w:tcPr>
          <w:p>
            <w:r>
              <w:rPr>
                <w:rFonts w:hint="eastAsia" w:ascii="宋体" w:hAnsi="宋体"/>
                <w:color w:val="000000"/>
                <w:sz w:val="24"/>
                <w:szCs w:val="24"/>
              </w:rPr>
              <w:t>80%到90%的中段骨折，采用手法复位，横“8”字绷带固定。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1002和1003</w:t>
            </w:r>
          </w:p>
        </w:tc>
        <w:tc>
          <w:tcPr>
            <w:tcW w:w="1667" w:type="pct"/>
          </w:tcPr>
          <w:p>
            <w:pPr>
              <w:rPr>
                <w:rFonts w:hint="eastAsia"/>
              </w:rPr>
            </w:pPr>
          </w:p>
          <w:p/>
        </w:tc>
        <w:tc>
          <w:tcPr>
            <w:tcW w:w="1667" w:type="pct"/>
          </w:tcPr>
          <w:p>
            <w:r>
              <w:t>治疗中删除</w:t>
            </w:r>
            <w:r>
              <w:rPr>
                <w:rFonts w:hint="eastAsia"/>
              </w:rPr>
              <w:t>NERR分型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1004</w:t>
            </w:r>
          </w:p>
        </w:tc>
        <w:tc>
          <w:tcPr>
            <w:tcW w:w="1667" w:type="pct"/>
          </w:tcPr>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（2）小的开放伤口，污染不重。</w:t>
            </w:r>
          </w:p>
          <w:p/>
        </w:tc>
        <w:tc>
          <w:tcPr>
            <w:tcW w:w="1667" w:type="pct"/>
          </w:tcPr>
          <w:p>
            <w:r>
              <w:rPr>
                <w:rFonts w:hint="eastAsia"/>
              </w:rPr>
              <w:t>（2）开放性骨折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1004</w:t>
            </w:r>
          </w:p>
        </w:tc>
        <w:tc>
          <w:tcPr>
            <w:tcW w:w="1667" w:type="pct"/>
          </w:tcPr>
          <w:p>
            <w:r>
              <w:rPr>
                <w:rFonts w:hint="eastAsia" w:ascii="宋体" w:hAnsi="宋体"/>
                <w:color w:val="000000"/>
                <w:sz w:val="24"/>
                <w:szCs w:val="24"/>
              </w:rPr>
              <w:t>4～6周后可进行肘关节屈伸活动。</w:t>
            </w:r>
          </w:p>
        </w:tc>
        <w:tc>
          <w:tcPr>
            <w:tcW w:w="1667" w:type="pct"/>
          </w:tcPr>
          <w:p>
            <w:r>
              <w:t>骨折稳定</w:t>
            </w:r>
            <w:r>
              <w:rPr>
                <w:rFonts w:hint="eastAsia"/>
              </w:rPr>
              <w:t>可进行肘关节屈伸活动。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1004</w:t>
            </w:r>
          </w:p>
        </w:tc>
        <w:tc>
          <w:tcPr>
            <w:tcW w:w="1667" w:type="pct"/>
          </w:tcPr>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（2）受伤时间较短、伤口污染不重的开放性骨折。</w:t>
            </w:r>
          </w:p>
          <w:p/>
        </w:tc>
        <w:tc>
          <w:tcPr>
            <w:tcW w:w="1667" w:type="pct"/>
          </w:tcPr>
          <w:p>
            <w:r>
              <w:rPr>
                <w:rFonts w:hint="eastAsia"/>
              </w:rPr>
              <w:t>（2）开放性骨折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pPr>
              <w:rPr>
                <w:rFonts w:hint="eastAsia"/>
              </w:rPr>
            </w:pPr>
            <w:r>
              <w:rPr>
                <w:rFonts w:hint="eastAsia"/>
              </w:rPr>
              <w:t>1004</w:t>
            </w:r>
          </w:p>
          <w:p/>
        </w:tc>
        <w:tc>
          <w:tcPr>
            <w:tcW w:w="1667" w:type="pct"/>
          </w:tcPr>
          <w:p/>
        </w:tc>
        <w:tc>
          <w:tcPr>
            <w:tcW w:w="1667" w:type="pct"/>
          </w:tcPr>
          <w:p>
            <w:r>
              <w:rPr>
                <w:rFonts w:hint="eastAsia"/>
              </w:rPr>
              <w:t>桡骨远端骨折的治疗中加：无论手法复位或切开复位或切开复位，术后均应早期进行手屈伸活动。4～6周后可去除外固定，逐渐开始腕关节活动。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pPr>
              <w:rPr>
                <w:rFonts w:hint="eastAsia"/>
              </w:rPr>
            </w:pPr>
          </w:p>
          <w:p>
            <w:pPr>
              <w:rPr>
                <w:rFonts w:hint="eastAsia"/>
              </w:rPr>
            </w:pPr>
            <w:r>
              <w:rPr>
                <w:rFonts w:hint="eastAsia"/>
              </w:rPr>
              <w:t>1005</w:t>
            </w:r>
          </w:p>
          <w:p/>
        </w:tc>
        <w:tc>
          <w:tcPr>
            <w:tcW w:w="1667" w:type="pct"/>
          </w:tcPr>
          <w:p/>
        </w:tc>
        <w:tc>
          <w:tcPr>
            <w:tcW w:w="1667" w:type="pct"/>
          </w:tcPr>
          <w:p>
            <w:r>
              <w:t>下肢骨折的治疗</w:t>
            </w:r>
            <w:r>
              <w:rPr>
                <w:rFonts w:hint="eastAsia"/>
              </w:rPr>
              <w:t>：</w:t>
            </w:r>
            <w:r>
              <w:t>大变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pPr>
              <w:rPr>
                <w:rFonts w:hint="eastAsia"/>
              </w:rPr>
            </w:pPr>
            <w:r>
              <w:rPr>
                <w:rFonts w:hint="eastAsia"/>
              </w:rPr>
              <w:t>1006</w:t>
            </w:r>
          </w:p>
          <w:p>
            <w:pPr>
              <w:rPr>
                <w:rFonts w:hint="eastAsia"/>
              </w:rPr>
            </w:pPr>
          </w:p>
          <w:p>
            <w:pPr>
              <w:rPr>
                <w:rFonts w:hint="eastAsia"/>
              </w:rPr>
            </w:pPr>
          </w:p>
          <w:p/>
        </w:tc>
        <w:tc>
          <w:tcPr>
            <w:tcW w:w="1667" w:type="pct"/>
          </w:tcPr>
          <w:p>
            <w:r>
              <w:rPr>
                <w:rFonts w:hint="eastAsia" w:ascii="宋体" w:hAnsi="宋体"/>
                <w:color w:val="000000"/>
                <w:sz w:val="24"/>
                <w:szCs w:val="24"/>
              </w:rPr>
              <w:t>对稳定性骨折，采用胫骨结节或股骨髁上外展位骨牵引，6～8周后逐渐扶拐下地活动。</w:t>
            </w:r>
          </w:p>
        </w:tc>
        <w:tc>
          <w:tcPr>
            <w:tcW w:w="1667" w:type="pct"/>
          </w:tcPr>
          <w:p>
            <w:r>
              <w:rPr>
                <w:rFonts w:hint="eastAsia" w:ascii="宋体" w:hAnsi="宋体"/>
                <w:color w:val="000000"/>
                <w:sz w:val="24"/>
                <w:szCs w:val="24"/>
              </w:rPr>
              <w:t>对手术禁忌证者，采用胫骨结节或股骨髁上外展位骨牵引，6～8周后逐渐扶拐下地活动。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6" w:hRule="atLeast"/>
        </w:trPr>
        <w:tc>
          <w:tcPr>
            <w:tcW w:w="1666" w:type="pct"/>
          </w:tcPr>
          <w:p>
            <w:r>
              <w:rPr>
                <w:rFonts w:hint="eastAsia"/>
              </w:rPr>
              <w:t>1006</w:t>
            </w:r>
          </w:p>
        </w:tc>
        <w:tc>
          <w:tcPr>
            <w:tcW w:w="1667" w:type="pct"/>
          </w:tcPr>
          <w:p>
            <w:r>
              <w:rPr>
                <w:rFonts w:hint="eastAsia" w:ascii="宋体" w:hAnsi="宋体"/>
                <w:color w:val="000000"/>
                <w:sz w:val="24"/>
                <w:szCs w:val="24"/>
              </w:rPr>
              <w:t>对于不稳定骨折，或手法复位失败者，采用切开复位内固定方法治疗。</w:t>
            </w:r>
          </w:p>
        </w:tc>
        <w:tc>
          <w:tcPr>
            <w:tcW w:w="1667" w:type="pct"/>
          </w:tcPr>
          <w:p>
            <w: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1006</w:t>
            </w:r>
          </w:p>
        </w:tc>
        <w:tc>
          <w:tcPr>
            <w:tcW w:w="1667" w:type="pct"/>
          </w:tcPr>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较小的成角畸形及2cm以内的重叠是可以接受的。因为儿童骨的再塑能力强，随着生长发育，逐渐代偿，至成人可不留痕迹。</w:t>
            </w:r>
          </w:p>
          <w:p/>
        </w:tc>
        <w:tc>
          <w:tcPr>
            <w:tcW w:w="1667" w:type="pct"/>
          </w:tcPr>
          <w:p>
            <w: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7" w:hRule="atLeast"/>
        </w:trPr>
        <w:tc>
          <w:tcPr>
            <w:tcW w:w="1666" w:type="pct"/>
          </w:tcPr>
          <w:p>
            <w:r>
              <w:rPr>
                <w:rFonts w:hint="eastAsia"/>
              </w:rPr>
              <w:t>1006</w:t>
            </w:r>
          </w:p>
        </w:tc>
        <w:tc>
          <w:tcPr>
            <w:tcW w:w="1667" w:type="pct"/>
          </w:tcPr>
          <w:p/>
        </w:tc>
        <w:tc>
          <w:tcPr>
            <w:tcW w:w="1667" w:type="pct"/>
          </w:tcPr>
          <w:p>
            <w:r>
              <w:t>手术疗法新加</w:t>
            </w:r>
            <w:r>
              <w:rPr>
                <w:rFonts w:hint="eastAsia"/>
              </w:rPr>
              <w:t>：</w:t>
            </w:r>
            <w:r>
              <w:t>成人及</w:t>
            </w:r>
            <w:r>
              <w:rPr>
                <w:rFonts w:hint="eastAsia"/>
              </w:rPr>
              <w:t>3岁以上儿童股骨干骨折近年来多采用手术治疗。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1006</w:t>
            </w:r>
          </w:p>
        </w:tc>
        <w:tc>
          <w:tcPr>
            <w:tcW w:w="1667" w:type="pct"/>
          </w:tcPr>
          <w:p/>
        </w:tc>
        <w:tc>
          <w:tcPr>
            <w:tcW w:w="1667" w:type="pct"/>
          </w:tcPr>
          <w:p>
            <w:pPr>
              <w:rPr>
                <w:rFonts w:hint="eastAsia"/>
              </w:rPr>
            </w:pPr>
            <w:r>
              <w:t>胫骨平台骨折的治疗</w:t>
            </w:r>
            <w:r>
              <w:rPr>
                <w:rFonts w:hint="eastAsia"/>
              </w:rPr>
              <w:t>：</w:t>
            </w:r>
            <w:r>
              <w:t>大变</w:t>
            </w:r>
          </w:p>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5" w:hRule="atLeast"/>
        </w:trPr>
        <w:tc>
          <w:tcPr>
            <w:tcW w:w="1666" w:type="pct"/>
          </w:tcPr>
          <w:p>
            <w:r>
              <w:rPr>
                <w:rFonts w:hint="eastAsia"/>
              </w:rPr>
              <w:t>1008</w:t>
            </w:r>
          </w:p>
        </w:tc>
        <w:tc>
          <w:tcPr>
            <w:tcW w:w="1667" w:type="pct"/>
          </w:tcPr>
          <w:p>
            <w:r>
              <w:rPr>
                <w:rFonts w:hint="eastAsia" w:ascii="宋体" w:hAnsi="宋体"/>
                <w:color w:val="000000"/>
                <w:sz w:val="24"/>
                <w:szCs w:val="24"/>
              </w:rPr>
              <w:t>患者持续疼痛，可在关节内注射药物（如玻璃酸钠等）、采用关节融合术或关节置换术治疗。</w:t>
            </w:r>
          </w:p>
        </w:tc>
        <w:tc>
          <w:tcPr>
            <w:tcW w:w="1667" w:type="pct"/>
          </w:tcPr>
          <w:p>
            <w:r>
              <w:rPr>
                <w:rFonts w:hint="eastAsia" w:ascii="宋体" w:hAnsi="宋体"/>
                <w:color w:val="000000"/>
                <w:sz w:val="24"/>
                <w:szCs w:val="24"/>
              </w:rPr>
              <w:t>患者持续疼痛，可在关节内注射药物（如玻璃酸钠等），保守治疗无效可行手术治疗，如采用关节融合术或关节置换术治疗。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1011</w:t>
            </w:r>
          </w:p>
        </w:tc>
        <w:tc>
          <w:tcPr>
            <w:tcW w:w="1667" w:type="pct"/>
          </w:tcPr>
          <w:p>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（2）骶尾骨骨折：均采用非手术治疗，以卧床休息为主，骶部垫气圈或软垫。</w:t>
            </w:r>
          </w:p>
          <w:p/>
        </w:tc>
        <w:tc>
          <w:tcPr>
            <w:tcW w:w="1667" w:type="pct"/>
          </w:tcPr>
          <w:p>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（2）骶尾骨骨折：骶尾骨骨折，骶骨有明显的移位者需要手术治疗；无移位者可采用非手术治疗，以卧床休息为主，骶部垫气圈或软垫。</w:t>
            </w:r>
          </w:p>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1013</w:t>
            </w:r>
          </w:p>
        </w:tc>
        <w:tc>
          <w:tcPr>
            <w:tcW w:w="1667" w:type="pct"/>
          </w:tcPr>
          <w:p>
            <w:r>
              <w:rPr>
                <w:rFonts w:hint="eastAsia"/>
              </w:rPr>
              <w:t>Allis法具体操作</w:t>
            </w:r>
          </w:p>
        </w:tc>
        <w:tc>
          <w:tcPr>
            <w:tcW w:w="1667" w:type="pct"/>
          </w:tcPr>
          <w:p>
            <w: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1017</w:t>
            </w:r>
          </w:p>
        </w:tc>
        <w:tc>
          <w:tcPr>
            <w:tcW w:w="1667" w:type="pct"/>
          </w:tcPr>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4.对早期治疗不当，病程长、症状顽固者，施行伸肌总腱起点剥离松解术或卡压神经血管束切除结扎术。</w:t>
            </w:r>
          </w:p>
          <w:p/>
        </w:tc>
        <w:tc>
          <w:tcPr>
            <w:tcW w:w="1667" w:type="pct"/>
          </w:tcPr>
          <w:p>
            <w:pPr>
              <w:spacing w:line="360" w:lineRule="auto"/>
              <w:ind w:firstLine="420" w:firstLineChars="200"/>
              <w:rPr>
                <w:rFonts w:ascii="宋体" w:hAnsi="宋体" w:eastAsia="宋体" w:cs="Times New Roman"/>
                <w:color w:val="000000"/>
                <w:sz w:val="24"/>
                <w:szCs w:val="24"/>
              </w:rPr>
            </w:pPr>
            <w:r>
              <w:rPr>
                <w:rFonts w:hint="eastAsia"/>
              </w:rPr>
              <w:t>4.对非手术治疗效果不佳、病程长</w:t>
            </w:r>
            <w:r>
              <w:rPr>
                <w:rFonts w:hint="eastAsia" w:ascii="宋体" w:hAnsi="宋体" w:eastAsia="宋体" w:cs="Times New Roman"/>
                <w:color w:val="000000"/>
                <w:sz w:val="24"/>
                <w:szCs w:val="24"/>
              </w:rPr>
              <w:t>病程长、症状顽固者，施行伸肌总腱起点剥离松解术或卡压神经血管束切除结扎术。</w:t>
            </w:r>
          </w:p>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1018</w:t>
            </w:r>
          </w:p>
        </w:tc>
        <w:tc>
          <w:tcPr>
            <w:tcW w:w="1667" w:type="pct"/>
          </w:tcPr>
          <w:p>
            <w:r>
              <w:rPr>
                <w:rFonts w:hint="eastAsia" w:ascii="宋体" w:hAnsi="宋体"/>
                <w:color w:val="000000"/>
                <w:sz w:val="24"/>
                <w:szCs w:val="24"/>
              </w:rPr>
              <w:t>（6）股骨近端髓内压力测定也可为股骨头缺血性坏死等疾病的早期诊断和治疗提供客观依据。</w:t>
            </w:r>
          </w:p>
        </w:tc>
        <w:tc>
          <w:tcPr>
            <w:tcW w:w="1667" w:type="pct"/>
          </w:tcPr>
          <w:p>
            <w: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1018</w:t>
            </w:r>
          </w:p>
        </w:tc>
        <w:tc>
          <w:tcPr>
            <w:tcW w:w="1667" w:type="pct"/>
          </w:tcPr>
          <w:p/>
        </w:tc>
        <w:tc>
          <w:tcPr>
            <w:tcW w:w="1667" w:type="pct"/>
          </w:tcPr>
          <w:p>
            <w:pPr>
              <w:rPr>
                <w:rFonts w:hint="eastAsia"/>
              </w:rPr>
            </w:pPr>
            <w:r>
              <w:t>非手术治疗中加</w:t>
            </w:r>
            <w:r>
              <w:rPr>
                <w:rFonts w:hint="eastAsia"/>
              </w:rPr>
              <w:t>：</w:t>
            </w:r>
          </w:p>
          <w:p>
            <w:r>
              <w:rPr>
                <w:rFonts w:hint="eastAsia"/>
              </w:rPr>
              <w:t>非甾体抗炎药、抗凝药、血管扩张药、双磷酸盐可能有一定疗效。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1019</w:t>
            </w:r>
          </w:p>
        </w:tc>
        <w:tc>
          <w:tcPr>
            <w:tcW w:w="1667" w:type="pct"/>
          </w:tcPr>
          <w:p/>
        </w:tc>
        <w:tc>
          <w:tcPr>
            <w:tcW w:w="1667" w:type="pct"/>
          </w:tcPr>
          <w:p>
            <w:pPr>
              <w:rPr>
                <w:rFonts w:hint="eastAsia"/>
              </w:rPr>
            </w:pPr>
            <w:r>
              <w:t>椎动脉型颈椎病中新加</w:t>
            </w:r>
            <w:r>
              <w:rPr>
                <w:rFonts w:hint="eastAsia"/>
              </w:rPr>
              <w:t>：</w:t>
            </w:r>
          </w:p>
          <w:p>
            <w:r>
              <w:rPr>
                <w:rFonts w:hint="eastAsia"/>
              </w:rPr>
              <w:t>⑤心脏症状：心悸、心律失常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1019</w:t>
            </w:r>
          </w:p>
        </w:tc>
        <w:tc>
          <w:tcPr>
            <w:tcW w:w="1667" w:type="pct"/>
          </w:tcPr>
          <w:p/>
        </w:tc>
        <w:tc>
          <w:tcPr>
            <w:tcW w:w="1667" w:type="pct"/>
          </w:tcPr>
          <w:p>
            <w:pPr>
              <w:rPr>
                <w:rFonts w:hint="eastAsia"/>
              </w:rPr>
            </w:pPr>
            <w:r>
              <w:rPr>
                <w:rFonts w:hint="eastAsia"/>
              </w:rPr>
              <w:t>神经根型颈椎病的鉴别诊断、脊髓型颈椎病的鉴别诊断</w:t>
            </w:r>
            <w:r>
              <w:rPr>
                <w:rFonts w:hint="eastAsia"/>
              </w:rPr>
              <w:tab/>
            </w:r>
          </w:p>
          <w:p>
            <w:r>
              <w:t>变动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1020</w:t>
            </w:r>
          </w:p>
        </w:tc>
        <w:tc>
          <w:tcPr>
            <w:tcW w:w="1667" w:type="pct"/>
          </w:tcPr>
          <w:p/>
        </w:tc>
        <w:tc>
          <w:tcPr>
            <w:tcW w:w="1667" w:type="pct"/>
          </w:tcPr>
          <w:p>
            <w:r>
              <w:t>治疗</w:t>
            </w:r>
            <w:r>
              <w:rPr>
                <w:rFonts w:hint="eastAsia"/>
              </w:rPr>
              <w:t>：</w:t>
            </w:r>
            <w:r>
              <w:t>变动大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1022</w:t>
            </w:r>
          </w:p>
        </w:tc>
        <w:tc>
          <w:tcPr>
            <w:tcW w:w="1667" w:type="pct"/>
          </w:tcPr>
          <w:p/>
        </w:tc>
        <w:tc>
          <w:tcPr>
            <w:tcW w:w="1667" w:type="pct"/>
          </w:tcPr>
          <w:p>
            <w:r>
              <w:t>治疗</w:t>
            </w:r>
            <w:r>
              <w:rPr>
                <w:rFonts w:hint="eastAsia"/>
              </w:rPr>
              <w:t>：</w:t>
            </w:r>
            <w:r>
              <w:t>变动大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1025</w:t>
            </w:r>
          </w:p>
        </w:tc>
        <w:tc>
          <w:tcPr>
            <w:tcW w:w="1667" w:type="pct"/>
          </w:tcPr>
          <w:p/>
        </w:tc>
        <w:tc>
          <w:tcPr>
            <w:tcW w:w="1667" w:type="pct"/>
          </w:tcPr>
          <w:p>
            <w:r>
              <w:t>实验室检查</w:t>
            </w:r>
            <w:r>
              <w:rPr>
                <w:rFonts w:hint="eastAsia"/>
              </w:rPr>
              <w:t>：</w:t>
            </w:r>
            <w:r>
              <w:t>大变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1026</w:t>
            </w:r>
          </w:p>
        </w:tc>
        <w:tc>
          <w:tcPr>
            <w:tcW w:w="1667" w:type="pct"/>
          </w:tcPr>
          <w:p/>
        </w:tc>
        <w:tc>
          <w:tcPr>
            <w:tcW w:w="1667" w:type="pct"/>
          </w:tcPr>
          <w:p>
            <w:r>
              <w:t>病理检查</w:t>
            </w:r>
            <w:r>
              <w:rPr>
                <w:rFonts w:hint="eastAsia"/>
              </w:rPr>
              <w:t>：</w:t>
            </w:r>
            <w:r>
              <w:t>大变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1028</w:t>
            </w:r>
          </w:p>
        </w:tc>
        <w:tc>
          <w:tcPr>
            <w:tcW w:w="1667" w:type="pct"/>
          </w:tcPr>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（2）抗结核药物治疗，一般维持三年。</w:t>
            </w:r>
          </w:p>
          <w:p/>
        </w:tc>
        <w:tc>
          <w:tcPr>
            <w:tcW w:w="1667" w:type="pct"/>
          </w:tcPr>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（2）按疗程抗结核药物治疗</w:t>
            </w:r>
          </w:p>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6" w:type="pct"/>
          </w:tcPr>
          <w:p>
            <w:r>
              <w:rPr>
                <w:rFonts w:hint="eastAsia"/>
              </w:rPr>
              <w:t>1031</w:t>
            </w:r>
          </w:p>
        </w:tc>
        <w:tc>
          <w:tcPr>
            <w:tcW w:w="1667" w:type="pct"/>
          </w:tcPr>
          <w:p/>
        </w:tc>
        <w:tc>
          <w:tcPr>
            <w:tcW w:w="1667" w:type="pct"/>
          </w:tcPr>
          <w:p>
            <w:r>
              <w:rPr>
                <w:rFonts w:hint="eastAsia"/>
              </w:rPr>
              <w:t>治疗最后新加“目前靶向药物用于治疗难治性骨巨细胞瘤，可控制疾病进展和复发”</w:t>
            </w:r>
          </w:p>
        </w:tc>
      </w:tr>
    </w:tbl>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t>www.med66.com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both"/>
    </w:pPr>
    <w:r>
      <w:pict>
        <v:shape id="WordPictureWatermark18629875" o:spid="_x0000_s2051" o:spt="75" type="#_x0000_t75" style="position:absolute;left:0pt;height:587.05pt;width:415.1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word"/>
          <o:lock v:ext="edit" aspectratio="t"/>
        </v:shape>
      </w:pict>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rPr>
      <w:t>20年临床医师讨论：431635329，微信公众号：yishi_med66，客服电话010-82311666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4" o:spid="_x0000_s2050" o:spt="75" type="#_x0000_t75" style="position:absolute;left:0pt;height:587.05pt;width:415.1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word"/>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3" o:spid="_x0000_s2049" o:spt="75" type="#_x0000_t75" style="position:absolute;left:0pt;height:587.05pt;width:415.1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word"/>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E7838"/>
    <w:rsid w:val="00081DC1"/>
    <w:rsid w:val="001443FD"/>
    <w:rsid w:val="001507A7"/>
    <w:rsid w:val="001E5B8B"/>
    <w:rsid w:val="0021243A"/>
    <w:rsid w:val="0035677F"/>
    <w:rsid w:val="00366A59"/>
    <w:rsid w:val="00412BE5"/>
    <w:rsid w:val="00447487"/>
    <w:rsid w:val="004F22D9"/>
    <w:rsid w:val="00501136"/>
    <w:rsid w:val="00513BAE"/>
    <w:rsid w:val="00560268"/>
    <w:rsid w:val="005B660F"/>
    <w:rsid w:val="00633352"/>
    <w:rsid w:val="00654579"/>
    <w:rsid w:val="00660F67"/>
    <w:rsid w:val="00683BDC"/>
    <w:rsid w:val="006A1A0A"/>
    <w:rsid w:val="006D0C94"/>
    <w:rsid w:val="007015E9"/>
    <w:rsid w:val="007E37A9"/>
    <w:rsid w:val="007F254D"/>
    <w:rsid w:val="0082125A"/>
    <w:rsid w:val="008B6795"/>
    <w:rsid w:val="008C256C"/>
    <w:rsid w:val="00907E4F"/>
    <w:rsid w:val="00925A54"/>
    <w:rsid w:val="00926E63"/>
    <w:rsid w:val="00932AF2"/>
    <w:rsid w:val="009510BA"/>
    <w:rsid w:val="00961F95"/>
    <w:rsid w:val="00985970"/>
    <w:rsid w:val="00AC669C"/>
    <w:rsid w:val="00AE7838"/>
    <w:rsid w:val="00B33330"/>
    <w:rsid w:val="00B73D40"/>
    <w:rsid w:val="00CD0218"/>
    <w:rsid w:val="00CF7CB0"/>
    <w:rsid w:val="00DA6986"/>
    <w:rsid w:val="00E21433"/>
    <w:rsid w:val="00E900D1"/>
    <w:rsid w:val="00E90FEA"/>
    <w:rsid w:val="00EC3B9A"/>
    <w:rsid w:val="00EE1A4D"/>
    <w:rsid w:val="00F541EB"/>
    <w:rsid w:val="00FD3B9C"/>
    <w:rsid w:val="00FD4BC9"/>
    <w:rsid w:val="3A9230C7"/>
    <w:rsid w:val="61FC6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cs="Times New Roman"/>
      <w:kern w:val="0"/>
      <w:sz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time3"/>
    <w:basedOn w:val="8"/>
    <w:qFormat/>
    <w:uiPriority w:val="0"/>
  </w:style>
  <w:style w:type="paragraph" w:customStyle="1" w:styleId="15">
    <w:name w:val="Default"/>
    <w:basedOn w:val="1"/>
    <w:qFormat/>
    <w:uiPriority w:val="0"/>
    <w:pPr>
      <w:autoSpaceDE w:val="0"/>
      <w:autoSpaceDN w:val="0"/>
      <w:adjustRightInd w:val="0"/>
      <w:ind w:firstLine="0" w:firstLineChars="0"/>
      <w:jc w:val="left"/>
    </w:pPr>
    <w:rPr>
      <w:rFonts w:ascii="MingLiU" w:hAnsi="Calibri" w:eastAsia="MingLiU"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1AC00-A431-44FD-BC1E-FD5A2DCAC2AA}">
  <ds:schemaRefs/>
</ds:datastoreItem>
</file>

<file path=docProps/app.xml><?xml version="1.0" encoding="utf-8"?>
<Properties xmlns="http://schemas.openxmlformats.org/officeDocument/2006/extended-properties" xmlns:vt="http://schemas.openxmlformats.org/officeDocument/2006/docPropsVTypes">
  <Template>Normal</Template>
  <Pages>2</Pages>
  <Words>103</Words>
  <Characters>593</Characters>
  <Lines>4</Lines>
  <Paragraphs>1</Paragraphs>
  <TotalTime>0</TotalTime>
  <ScaleCrop>false</ScaleCrop>
  <LinksUpToDate>false</LinksUpToDate>
  <CharactersWithSpaces>695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2019-12-05T02:00:00Z</dcterms:created>
  <dc:creator>DELL</dc:creator>
  <cp:lastModifiedBy>dell</cp:lastModifiedBy>
  <cp:lastPrinted>2018-12-12T03:32:00Z</cp:lastPrinted>
  <dcterms:modified xsi:type="dcterms:W3CDTF">2019-12-05T02:44:50Z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