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0FCEE"/>
        <w:spacing w:before="0" w:beforeAutospacing="0" w:after="0" w:afterAutospacing="0"/>
        <w:ind w:left="0" w:right="0" w:firstLine="0"/>
        <w:rPr>
          <w:rFonts w:ascii="宋体" w:hAnsi="宋体" w:eastAsia="宋体" w:cs="宋体"/>
          <w:i w:val="0"/>
          <w:caps w:val="0"/>
          <w:color w:val="383838"/>
          <w:spacing w:val="0"/>
          <w:sz w:val="18"/>
          <w:szCs w:val="18"/>
        </w:rPr>
      </w:pPr>
      <w:r>
        <w:rPr>
          <w:rFonts w:ascii="仿宋_GB2312" w:hAnsi="宋体" w:eastAsia="仿宋_GB2312" w:cs="仿宋_GB2312"/>
          <w:i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0FCEE"/>
        </w:rPr>
        <w:t>温州医科大学附属第二医院、育英儿童医院</w:t>
      </w:r>
      <w:r>
        <w:rPr>
          <w:rFonts w:hint="default" w:ascii="仿宋_GB2312" w:hAnsi="宋体" w:eastAsia="仿宋_GB2312" w:cs="仿宋_GB2312"/>
          <w:i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0FCEE"/>
        </w:rPr>
        <w:t>2020公开招聘计划表</w:t>
      </w:r>
    </w:p>
    <w:tbl>
      <w:tblPr>
        <w:tblW w:w="10340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0"/>
        <w:gridCol w:w="1441"/>
        <w:gridCol w:w="1096"/>
        <w:gridCol w:w="780"/>
        <w:gridCol w:w="1156"/>
        <w:gridCol w:w="1801"/>
        <w:gridCol w:w="2086"/>
        <w:gridCol w:w="765"/>
        <w:gridCol w:w="675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bdr w:val="none" w:color="auto" w:sz="0" w:space="0"/>
              </w:rPr>
              <w:t>序号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bdr w:val="none" w:color="auto" w:sz="0" w:space="0"/>
              </w:rPr>
              <w:t>科室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bdr w:val="none" w:color="auto" w:sz="0" w:space="0"/>
              </w:rPr>
              <w:t>岗位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bdr w:val="none" w:color="auto" w:sz="0" w:space="0"/>
              </w:rPr>
              <w:t>数量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bdr w:val="none" w:color="auto" w:sz="0" w:space="0"/>
              </w:rPr>
              <w:t>学历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bdr w:val="none" w:color="auto" w:sz="0" w:space="0"/>
              </w:rPr>
              <w:t>专业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bdr w:val="none" w:color="auto" w:sz="0" w:space="0"/>
              </w:rPr>
              <w:t>备注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bdr w:val="none" w:color="auto" w:sz="0" w:space="0"/>
              </w:rPr>
              <w:t>届别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bdr w:val="none" w:color="auto" w:sz="0" w:space="0"/>
              </w:rPr>
              <w:t>英语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感染内科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内科学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消化内科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内科学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心血管内科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内科学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4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肾内科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内科学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神经内科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神经病学及相关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6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身心医学科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精神病与精神卫生学、神经病学等相关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7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直肠肛门外科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三甲医院高级职称及以上人员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不限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CET4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8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神经外科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外科学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9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普外科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外科学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儿童急诊与重症医学科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11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儿童消化科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12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儿童心血管科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13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儿童血液科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14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新生儿科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15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儿童遗传代谢与内分泌科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16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儿童保健科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17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创伤骨科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骨外科学、外科学（骨科方向）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18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手显微外科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骨外科学、外科学（骨科方向）、整形外科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19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脊柱外科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骨外科学、外科学（骨科方向）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儿童骨科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骨外科学、外科学（骨科方向）、儿科学（骨科、外科方向）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21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妇科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妇产科学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22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产科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妇产科学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23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生殖医学中心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妇产科学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24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急诊医学科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4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25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烧伤科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外科学、儿科学（外科方向）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26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超声影像科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6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影像医学与核医学、临床医学专业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不限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27</w:t>
            </w:r>
          </w:p>
        </w:tc>
        <w:tc>
          <w:tcPr>
            <w:tcW w:w="144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放射影像科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影像医学与核医学、临床医学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影像医学与核医学、临床医学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介入岗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不限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CET4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28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麻醉与围术期医学科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麻醉学、临床医学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29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重症医学科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急诊医学、危重病医学及相关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30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眼科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眼科学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必须有医师资格证书和规培合格证书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31</w:t>
            </w:r>
          </w:p>
        </w:tc>
        <w:tc>
          <w:tcPr>
            <w:tcW w:w="144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耳鼻咽喉科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耳鼻咽喉科学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听力室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三甲医院高级职称及以上人员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不限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CET4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32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口腔科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4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口腔医学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其中2人为颌面外科方向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33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皮肤性病科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皮肤病与性病学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34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病理科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病理学与病理生理学、临床医学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如非病理专业，须学术型硕士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35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输血科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临床医生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36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营养科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技师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营养与食品卫生学、临床医学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副高及以上人员，从事营养方面相关工作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不限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不限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bdr w:val="none" w:color="auto" w:sz="0" w:space="0"/>
              </w:rPr>
              <w:t>37</w:t>
            </w: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护理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护理人员</w:t>
            </w: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硕士研究生及以上</w:t>
            </w: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护理学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bdr w:val="none" w:color="auto" w:sz="0" w:space="0"/>
              </w:rPr>
              <w:t>合计</w:t>
            </w:r>
          </w:p>
        </w:tc>
        <w:tc>
          <w:tcPr>
            <w:tcW w:w="10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  <w:bdr w:val="none" w:color="auto" w:sz="0" w:space="0"/>
              </w:rPr>
              <w:t>86</w:t>
            </w:r>
          </w:p>
        </w:tc>
        <w:tc>
          <w:tcPr>
            <w:tcW w:w="11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335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注：</w:t>
            </w: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br w:type="textWrapping"/>
            </w: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1.岗位中有职称要求的必须符合规定才能报名，且须从事跟报名岗位一致的临床工作，另外需要提供原单位的评聘材料（专业技术职务评审表、专业技术职务证书、聘任文件、档案工资表等）；</w:t>
            </w: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br w:type="textWrapping"/>
            </w: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2.除特别注明的岗位，其余均要求为2020年应届毕业生，通过CET6；</w:t>
            </w: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br w:type="textWrapping"/>
            </w: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3.博士岗位全年开放招聘，不受届别限制，原则上要求通过CET6，特殊情况可以放开；</w:t>
            </w: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br w:type="textWrapping"/>
            </w: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4.专业技术资格人员一般为35周岁以下，博士或副高级专业技术资格人员一般为45周岁以下；</w:t>
            </w: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br w:type="textWrapping"/>
            </w: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5.临床七年制和肿瘤学硕士及以上研究生可以报考相关专业的岗位；</w:t>
            </w: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br w:type="textWrapping"/>
            </w:r>
            <w:r>
              <w:rPr>
                <w:rFonts w:hint="eastAsia" w:ascii="宋体" w:hAnsi="宋体" w:eastAsia="宋体" w:cs="宋体"/>
                <w:sz w:val="20"/>
                <w:szCs w:val="20"/>
                <w:bdr w:val="none" w:color="auto" w:sz="0" w:space="0"/>
              </w:rPr>
              <w:t>6.招聘至临床岗位的硕士研究生，必须在5年内取得并聘任主治医师职称或5年内考取并就读博士，未达到此规定者解除聘用合同。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E766C9"/>
    <w:rsid w:val="0CE76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2019-12-18T09:51:00Z</dcterms:created>
  <dc:creator>秋叶夏花</dc:creator>
  <cp:lastModifiedBy>秋叶夏花</cp:lastModifiedBy>
  <dcterms:modified xsi:type="dcterms:W3CDTF">2019-12-18T09:51:51Z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