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spacing w:line="300" w:lineRule="auto"/>
        <w:ind w:left="562"/>
        <w:rPr>
          <w:rFonts w:hint="eastAsia" w:ascii="仿宋_GB2312" w:eastAsia="仿宋_GB2312"/>
          <w:b/>
          <w:sz w:val="30"/>
          <w:szCs w:val="30"/>
        </w:rPr>
      </w:pPr>
      <w:bookmarkStart w:id="0" w:name="_GoBack"/>
      <w:r>
        <w:rPr>
          <w:rFonts w:hint="eastAsia" w:ascii="仿宋_GB2312" w:eastAsia="仿宋_GB2312"/>
          <w:b/>
          <w:sz w:val="30"/>
          <w:szCs w:val="30"/>
        </w:rPr>
        <w:t>报名条件</w:t>
      </w:r>
    </w:p>
    <w:bookmarkEnd w:id="0"/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（一）临床医学专业中级（主治医师）报考条件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遵守《中华人民共和国执业医师法》，并取得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执业医师资格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。还须具备下列条件之一：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1、取得医学中专学历，受聘担任医师职务满7年。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2、取得医学大专学历，从事医师工作满6年。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3、取得医学本科学历，从事医师工作满4年。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4、取得临床医学硕士专业学位，从事医师工作满2年。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5、取得临床医学博士专业学位。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（二）全科医学、预防医学、药学、护理、技术专业中级资格考试报考条件，须具备下列条件之一：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1、取得相应专业中专学历，受聘担任医（药、护、技）师职务满7年。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2、取得相应专业大专学历，从事医（药、护、技）师工作满6年。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3、取得相应专业本科学历，从事医（药、护、技）师工作满4年。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4、取得相应专业硕士学位，从事医（药、护、技）师工作满2年。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5、取得相应专业博士学位。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（三）报考药学、护理、技术类专业初级（师）技术资格人员，要具备下列条件之一：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1、取得相应专业中专学历，受聘担任药（护、技）士职务满5年。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2、取得相应专业大专学历，从事本专业工作满3年。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3、取得相应专业本科学历，从事本专业工作满1年。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（四）报考药学、技术专业初级（士）资格考试的条件是具备相应专业中专以上学历。</w:t>
      </w:r>
    </w:p>
    <w:p>
      <w:pPr>
        <w:rPr>
          <w:rFonts w:hint="eastAsia" w:ascii="仿宋" w:hAnsi="仿宋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134" w:right="1644" w:bottom="1134" w:left="164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841EE"/>
    <w:rsid w:val="1B58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2019-12-16T11:40:00Z</dcterms:created>
  <dc:creator>xxzx</dc:creator>
  <cp:lastModifiedBy>xxzx</cp:lastModifiedBy>
  <dcterms:modified xsi:type="dcterms:W3CDTF">2019-12-16T11:40:52Z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