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vertAnchor="text" w:tblpXSpec="left"/>
        <w:tblW w:w="99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40"/>
        <w:gridCol w:w="705"/>
        <w:gridCol w:w="735"/>
        <w:gridCol w:w="975"/>
        <w:gridCol w:w="1200"/>
        <w:gridCol w:w="1620"/>
        <w:gridCol w:w="32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Style w:val="5"/>
                <w:rFonts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岗位说明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人数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性别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学历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学位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Style w:val="5"/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其他条件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急诊科医师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临床医学、全科医学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具有临床执业医师资格，年龄不超过35周岁，急诊急救方向优先。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内四科医师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临床医学、中医针灸专业（各1名）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具有临床执业医师资格，年龄不超过35周岁，心（脑）血管、神经内科方向优先。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疼痛康复科医师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疼痛康复科康复技师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专科及以上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康复治疗学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具备康复技师（士）资格证，年龄不超过35周岁。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肛肠科医师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临床医学、中医学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推拿科医师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针灸推拿学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内二科医师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外科医师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具有临床执业医师资格，年龄不超过35周岁，普外、泌尿方向优先。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骨伤一科医师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骨伤学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骨伤二科医师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中医骨伤学、中医学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具有临床执业医师资格，年龄不超过35周岁，中医骨伤方向优先。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麻醉师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学士学位及以上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麻醉学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心电诊断医师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具有临床执业医师资格，年龄不超过35周岁。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医学影像诊断医师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医学影像学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年龄不超过35周岁，具备临床执业医师资格者优先。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医学影像技师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医学影像技术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年龄不超过35周岁，具备技师（士）资格证者优先。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病理诊断医师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具备临床执业医师资格，年龄不超过35周岁。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中药调剂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中药学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年龄不超过35周岁，具备中药师（士）资格证者优先。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手术室护理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护理学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具备护士执业资格，年龄不超过35周岁，手术室专科护理资质优先考虑。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医务管理</w:t>
            </w:r>
          </w:p>
        </w:tc>
        <w:tc>
          <w:tcPr>
            <w:tcW w:w="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临床医学、中医学（各1名）</w:t>
            </w:r>
          </w:p>
        </w:tc>
        <w:tc>
          <w:tcPr>
            <w:tcW w:w="32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5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44444"/>
                <w:spacing w:val="0"/>
                <w:sz w:val="24"/>
                <w:szCs w:val="24"/>
                <w:bdr w:val="none" w:color="auto" w:sz="0" w:space="0"/>
              </w:rPr>
              <w:t>年龄不超过35周岁。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2"/>
        <w:spacing w:before="0" w:beforeAutospacing="0" w:after="0" w:afterAutospacing="0" w:line="48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4F4F2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7A72FE"/>
    <w:rsid w:val="447A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2020-03-31T06:34:00Z</dcterms:created>
  <dc:creator>秋叶夏花</dc:creator>
  <cp:lastModifiedBy>秋叶夏花</cp:lastModifiedBy>
  <dcterms:modified xsi:type="dcterms:W3CDTF">2020-03-31T06:35:49Z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