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28"/>
        <w:gridCol w:w="1980"/>
        <w:gridCol w:w="1380"/>
        <w:gridCol w:w="204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类型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薪酬待遇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安家费（万元）</w:t>
            </w: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科研启动经费（万元）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A类博士</w:t>
            </w:r>
          </w:p>
        </w:tc>
        <w:tc>
          <w:tcPr>
            <w:tcW w:w="19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享受相应岗位工资和绩效工资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40</w:t>
            </w: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40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B类博士</w:t>
            </w:r>
          </w:p>
        </w:tc>
        <w:tc>
          <w:tcPr>
            <w:tcW w:w="19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20</w:t>
            </w: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20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C类博士</w:t>
            </w:r>
          </w:p>
        </w:tc>
        <w:tc>
          <w:tcPr>
            <w:tcW w:w="19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15</w:t>
            </w: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15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D类博士</w:t>
            </w:r>
          </w:p>
        </w:tc>
        <w:tc>
          <w:tcPr>
            <w:tcW w:w="19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5</w:t>
            </w: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5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20"/>
        <w:jc w:val="both"/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bdr w:val="none" w:color="auto" w:sz="0" w:space="0"/>
        </w:rPr>
        <w:t>符合省财政厅、省人社厅《鼓励优秀博士毕业生来晋工作实施办法（试行）》（晋财教[2017]153号）有关要求的博士毕业生，另可申请享受生活补助10万元、科研经费5万元。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F85FC6"/>
    <w:rsid w:val="4FF85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2020-04-03T01:12:00Z</dcterms:created>
  <dc:creator>ぺ灬cc果冻ル</dc:creator>
  <cp:lastModifiedBy>ぺ灬cc果冻ル</cp:lastModifiedBy>
  <dcterms:modified xsi:type="dcterms:W3CDTF">2020-04-03T01:14:05Z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