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微软雅黑" w:hAnsi="微软雅黑" w:eastAsia="微软雅黑" w:cs="微软雅黑"/>
          <w:color w:val="333333"/>
          <w:kern w:val="0"/>
          <w:sz w:val="24"/>
          <w:shd w:val="clear" w:color="auto" w:fill="FFFFFF"/>
          <w:lang w:bidi="ar"/>
        </w:rPr>
      </w:pPr>
    </w:p>
    <w:tbl>
      <w:tblPr>
        <w:tblStyle w:val="2"/>
        <w:tblW w:w="8995" w:type="dxa"/>
        <w:tblInd w:w="-26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9"/>
        <w:gridCol w:w="833"/>
        <w:gridCol w:w="3367"/>
        <w:gridCol w:w="650"/>
        <w:gridCol w:w="246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科室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学历要求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人数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肿瘤放疗科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博士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肿瘤学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全日制博士研究生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心病科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心血管学，中医心病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246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全日制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硕士研究生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肾病科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肾内科学，中医肾病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脑外科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脑外科学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心胸外科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心胸外科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儿科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儿科学，中医儿科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眼科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眼科学，中医眼科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耳鼻喉科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耳鼻咽喉科学，中医五官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重症、急诊科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重症医学，急救医学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5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皮肤科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皮肤性病学，中医皮肤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康复科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康复医学、康复治疗学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肝胆外科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肝胆外科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影像中心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影像诊断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病理科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病理诊断、病理解剖学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3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检验科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微生物学、医学免疫学、胚胎学、遗传学、细胞生物学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临床药学室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硕士</w:t>
            </w:r>
          </w:p>
        </w:tc>
        <w:tc>
          <w:tcPr>
            <w:tcW w:w="3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临床药理学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246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7D0AD8"/>
    <w:rsid w:val="157D0A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2020-04-13T07:37:00Z</dcterms:created>
  <dc:creator>Pikki。</dc:creator>
  <cp:lastModifiedBy>Pikki。</cp:lastModifiedBy>
  <dcterms:modified xsi:type="dcterms:W3CDTF">2020-04-13T07:37:27Z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